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24839F" w14:textId="77777777" w:rsidR="005A47BC" w:rsidRPr="009171DC" w:rsidRDefault="005A47BC" w:rsidP="003031E0">
      <w:pPr>
        <w:spacing w:before="120" w:after="0" w:line="360" w:lineRule="auto"/>
        <w:rPr>
          <w:b/>
          <w:lang w:val="en-GB"/>
        </w:rPr>
      </w:pPr>
    </w:p>
    <w:p w14:paraId="7CDA7560" w14:textId="77777777" w:rsidR="005A47BC" w:rsidRPr="009171DC" w:rsidRDefault="005A47BC" w:rsidP="003031E0">
      <w:pPr>
        <w:spacing w:before="120" w:after="0" w:line="360" w:lineRule="auto"/>
        <w:rPr>
          <w:b/>
          <w:lang w:val="en-GB"/>
        </w:rPr>
      </w:pPr>
    </w:p>
    <w:p w14:paraId="63D5E593" w14:textId="77777777" w:rsidR="005A47BC" w:rsidRPr="009171DC" w:rsidRDefault="005A47BC" w:rsidP="003031E0">
      <w:pPr>
        <w:spacing w:before="120" w:after="0" w:line="360" w:lineRule="auto"/>
        <w:rPr>
          <w:b/>
          <w:lang w:val="en-GB"/>
        </w:rPr>
      </w:pPr>
    </w:p>
    <w:p w14:paraId="1FD5226E" w14:textId="675D565D" w:rsidR="009665E3" w:rsidRPr="009171DC" w:rsidRDefault="0004636D" w:rsidP="003031E0">
      <w:pPr>
        <w:spacing w:before="120" w:after="0" w:line="360" w:lineRule="auto"/>
        <w:rPr>
          <w:b/>
          <w:lang w:val="en-GB"/>
        </w:rPr>
      </w:pPr>
      <w:r w:rsidRPr="009171DC">
        <w:rPr>
          <w:b/>
          <w:lang w:val="en-GB"/>
        </w:rPr>
        <w:t>Has</w:t>
      </w:r>
      <w:r w:rsidR="00817E0C" w:rsidRPr="009171DC">
        <w:rPr>
          <w:b/>
          <w:lang w:val="en-GB"/>
        </w:rPr>
        <w:t xml:space="preserve"> the </w:t>
      </w:r>
      <w:r w:rsidR="00B21D09" w:rsidRPr="009171DC">
        <w:rPr>
          <w:b/>
          <w:lang w:val="en-GB"/>
        </w:rPr>
        <w:t xml:space="preserve">Spring 2020 </w:t>
      </w:r>
      <w:r w:rsidRPr="009171DC">
        <w:rPr>
          <w:b/>
          <w:lang w:val="en-GB"/>
        </w:rPr>
        <w:t>lockdown modified</w:t>
      </w:r>
      <w:r w:rsidR="00817E0C" w:rsidRPr="009171DC">
        <w:rPr>
          <w:b/>
          <w:lang w:val="en-GB"/>
        </w:rPr>
        <w:t xml:space="preserve"> the relationship between </w:t>
      </w:r>
      <w:r w:rsidR="004C4945" w:rsidRPr="009171DC">
        <w:rPr>
          <w:b/>
          <w:lang w:val="en-GB"/>
        </w:rPr>
        <w:t>air pollution and COVID-19</w:t>
      </w:r>
      <w:r w:rsidR="0002702E" w:rsidRPr="009171DC">
        <w:rPr>
          <w:b/>
          <w:lang w:val="en-GB"/>
        </w:rPr>
        <w:t xml:space="preserve"> mortality</w:t>
      </w:r>
      <w:r w:rsidR="00676698" w:rsidRPr="009171DC">
        <w:rPr>
          <w:b/>
          <w:lang w:val="en-GB"/>
        </w:rPr>
        <w:t xml:space="preserve"> in Europe</w:t>
      </w:r>
      <w:r w:rsidR="004C4945" w:rsidRPr="009171DC">
        <w:rPr>
          <w:b/>
          <w:lang w:val="en-GB"/>
        </w:rPr>
        <w:t>?</w:t>
      </w:r>
    </w:p>
    <w:p w14:paraId="4E968A43" w14:textId="77777777" w:rsidR="004C4945" w:rsidRPr="009171DC" w:rsidRDefault="004C4945" w:rsidP="003031E0">
      <w:pPr>
        <w:spacing w:before="120" w:after="0" w:line="360" w:lineRule="auto"/>
        <w:rPr>
          <w:lang w:val="en-GB"/>
        </w:rPr>
      </w:pPr>
    </w:p>
    <w:p w14:paraId="0042FDF1" w14:textId="77777777" w:rsidR="005A47BC" w:rsidRPr="009171DC" w:rsidRDefault="005A47BC" w:rsidP="003031E0">
      <w:pPr>
        <w:spacing w:before="120" w:after="0" w:line="360" w:lineRule="auto"/>
        <w:rPr>
          <w:lang w:val="en-GB"/>
        </w:rPr>
      </w:pPr>
    </w:p>
    <w:p w14:paraId="2514B29C" w14:textId="77777777" w:rsidR="005A47BC" w:rsidRPr="009171DC" w:rsidRDefault="005A47BC" w:rsidP="003031E0">
      <w:pPr>
        <w:spacing w:before="120" w:after="0" w:line="360" w:lineRule="auto"/>
        <w:rPr>
          <w:lang w:val="en-GB"/>
        </w:rPr>
      </w:pPr>
    </w:p>
    <w:p w14:paraId="2614DD05" w14:textId="6D6BC401" w:rsidR="004C4945" w:rsidRPr="002D41D0" w:rsidRDefault="003031E0" w:rsidP="003031E0">
      <w:pPr>
        <w:spacing w:before="120" w:after="0" w:line="360" w:lineRule="auto"/>
        <w:rPr>
          <w:rFonts w:cstheme="minorBidi"/>
          <w:szCs w:val="28"/>
          <w:cs/>
          <w:lang w:val="it-IT" w:bidi="bn-IN"/>
        </w:rPr>
      </w:pPr>
      <w:r w:rsidRPr="004A702A">
        <w:rPr>
          <w:lang w:val="it-IT"/>
        </w:rPr>
        <w:t>Isabella</w:t>
      </w:r>
      <w:r w:rsidR="00FA40F5" w:rsidRPr="004A702A">
        <w:rPr>
          <w:lang w:val="it-IT"/>
        </w:rPr>
        <w:t xml:space="preserve"> Annesi-Maesano</w:t>
      </w:r>
      <w:r w:rsidR="005A47BC" w:rsidRPr="004A702A">
        <w:rPr>
          <w:vertAlign w:val="superscript"/>
          <w:lang w:val="it-IT"/>
        </w:rPr>
        <w:t>1</w:t>
      </w:r>
      <w:r w:rsidR="00FA40F5" w:rsidRPr="004A702A">
        <w:rPr>
          <w:lang w:val="it-IT"/>
        </w:rPr>
        <w:t xml:space="preserve">, </w:t>
      </w:r>
      <w:r w:rsidR="009049E5" w:rsidRPr="004A702A">
        <w:rPr>
          <w:lang w:val="it-IT"/>
        </w:rPr>
        <w:t>Cara</w:t>
      </w:r>
      <w:r w:rsidR="009B2E05" w:rsidRPr="004A702A">
        <w:rPr>
          <w:lang w:val="it-IT"/>
        </w:rPr>
        <w:t xml:space="preserve"> Nichole</w:t>
      </w:r>
      <w:r w:rsidR="009049E5" w:rsidRPr="004A702A">
        <w:rPr>
          <w:lang w:val="it-IT"/>
        </w:rPr>
        <w:t xml:space="preserve"> Maesano</w:t>
      </w:r>
      <w:r w:rsidR="00F170C8" w:rsidRPr="004A702A">
        <w:rPr>
          <w:vertAlign w:val="superscript"/>
          <w:lang w:val="it-IT"/>
        </w:rPr>
        <w:t xml:space="preserve"> 1</w:t>
      </w:r>
      <w:r w:rsidR="009049E5" w:rsidRPr="004A702A">
        <w:rPr>
          <w:lang w:val="it-IT"/>
        </w:rPr>
        <w:t xml:space="preserve">, </w:t>
      </w:r>
      <w:r w:rsidR="005223C2" w:rsidRPr="004A702A">
        <w:rPr>
          <w:lang w:val="it-IT"/>
        </w:rPr>
        <w:t>Boris Dessimond</w:t>
      </w:r>
      <w:r w:rsidR="005A47BC" w:rsidRPr="004A702A">
        <w:rPr>
          <w:vertAlign w:val="superscript"/>
          <w:lang w:val="it-IT"/>
        </w:rPr>
        <w:t>1</w:t>
      </w:r>
      <w:r w:rsidR="005223C2" w:rsidRPr="004A702A">
        <w:rPr>
          <w:lang w:val="it-IT"/>
        </w:rPr>
        <w:t>, Julie Prud’homme</w:t>
      </w:r>
      <w:r w:rsidR="005A47BC" w:rsidRPr="004A702A">
        <w:rPr>
          <w:vertAlign w:val="superscript"/>
          <w:lang w:val="it-IT"/>
        </w:rPr>
        <w:t>1</w:t>
      </w:r>
      <w:r w:rsidR="005223C2" w:rsidRPr="004A702A">
        <w:rPr>
          <w:lang w:val="it-IT"/>
        </w:rPr>
        <w:t xml:space="preserve">, </w:t>
      </w:r>
      <w:r w:rsidR="00676698" w:rsidRPr="004A702A">
        <w:rPr>
          <w:lang w:val="it-IT"/>
        </w:rPr>
        <w:t>Augustin Colette</w:t>
      </w:r>
      <w:r w:rsidR="00F170C8" w:rsidRPr="004A702A">
        <w:rPr>
          <w:vertAlign w:val="superscript"/>
          <w:lang w:val="it-IT"/>
        </w:rPr>
        <w:t>3</w:t>
      </w:r>
      <w:r w:rsidR="00676698" w:rsidRPr="004A702A">
        <w:rPr>
          <w:lang w:val="it-IT"/>
        </w:rPr>
        <w:t xml:space="preserve">, </w:t>
      </w:r>
      <w:r w:rsidR="009049E5" w:rsidRPr="004A702A">
        <w:rPr>
          <w:lang w:val="it-IT"/>
        </w:rPr>
        <w:t>Soutrik Banerjee</w:t>
      </w:r>
      <w:r w:rsidR="009049E5" w:rsidRPr="004A702A">
        <w:rPr>
          <w:vertAlign w:val="superscript"/>
          <w:lang w:val="it-IT"/>
        </w:rPr>
        <w:t>1</w:t>
      </w:r>
    </w:p>
    <w:p w14:paraId="096FE296" w14:textId="77777777" w:rsidR="005A47BC" w:rsidRPr="002D41D0" w:rsidRDefault="005A47BC" w:rsidP="005A47BC">
      <w:pPr>
        <w:shd w:val="clear" w:color="auto" w:fill="FFFFFF"/>
        <w:rPr>
          <w:rFonts w:cstheme="minorBidi"/>
          <w:szCs w:val="28"/>
          <w:vertAlign w:val="superscript"/>
          <w:cs/>
          <w:lang w:val="it-IT" w:bidi="bn-IN"/>
        </w:rPr>
      </w:pPr>
    </w:p>
    <w:p w14:paraId="245438D6" w14:textId="77777777" w:rsidR="005A47BC" w:rsidRPr="005B2D1E" w:rsidRDefault="005A47BC" w:rsidP="005A47BC">
      <w:pPr>
        <w:shd w:val="clear" w:color="auto" w:fill="FFFFFF"/>
        <w:rPr>
          <w:color w:val="000000" w:themeColor="text1"/>
          <w:vertAlign w:val="superscript"/>
          <w:lang w:val="it-IT"/>
        </w:rPr>
      </w:pPr>
    </w:p>
    <w:p w14:paraId="4E1520E4" w14:textId="77777777" w:rsidR="005A47BC" w:rsidRPr="005B2D1E" w:rsidRDefault="005A47BC" w:rsidP="005A47BC">
      <w:pPr>
        <w:shd w:val="clear" w:color="auto" w:fill="FFFFFF"/>
        <w:rPr>
          <w:color w:val="000000" w:themeColor="text1"/>
          <w:vertAlign w:val="superscript"/>
          <w:lang w:val="it-IT"/>
        </w:rPr>
      </w:pPr>
    </w:p>
    <w:p w14:paraId="1B9B98AE" w14:textId="1C33D346" w:rsidR="005A47BC" w:rsidRPr="00A252B7" w:rsidRDefault="005A47BC" w:rsidP="005A47BC">
      <w:pPr>
        <w:shd w:val="clear" w:color="auto" w:fill="FFFFFF"/>
        <w:rPr>
          <w:color w:val="000000" w:themeColor="text1"/>
          <w:lang w:val="en-GB"/>
        </w:rPr>
      </w:pPr>
      <w:r w:rsidRPr="00A252B7">
        <w:rPr>
          <w:color w:val="000000" w:themeColor="text1"/>
          <w:vertAlign w:val="superscript"/>
          <w:lang w:val="en-GB"/>
        </w:rPr>
        <w:t>1</w:t>
      </w:r>
      <w:r w:rsidRPr="00A252B7">
        <w:rPr>
          <w:color w:val="000000" w:themeColor="text1"/>
          <w:lang w:val="en-GB"/>
        </w:rPr>
        <w:t xml:space="preserve">INSERM and </w:t>
      </w:r>
      <w:r w:rsidR="009C614B">
        <w:rPr>
          <w:color w:val="000000" w:themeColor="text1"/>
          <w:lang w:val="en-GB"/>
        </w:rPr>
        <w:t>Montpellier</w:t>
      </w:r>
      <w:r w:rsidRPr="00A252B7">
        <w:rPr>
          <w:color w:val="000000" w:themeColor="text1"/>
          <w:lang w:val="en-GB"/>
        </w:rPr>
        <w:t xml:space="preserve"> University, </w:t>
      </w:r>
      <w:r w:rsidR="009C614B">
        <w:rPr>
          <w:color w:val="000000" w:themeColor="text1"/>
          <w:lang w:val="en-GB"/>
        </w:rPr>
        <w:t xml:space="preserve">Desbrest Institute of </w:t>
      </w:r>
      <w:r w:rsidRPr="00A252B7">
        <w:rPr>
          <w:color w:val="000000" w:themeColor="text1"/>
          <w:lang w:val="en-GB"/>
        </w:rPr>
        <w:t xml:space="preserve">Epidemiology </w:t>
      </w:r>
      <w:r w:rsidR="009C614B">
        <w:rPr>
          <w:color w:val="000000" w:themeColor="text1"/>
          <w:lang w:val="en-GB"/>
        </w:rPr>
        <w:t>and Public Health (IDESP), Montpellier</w:t>
      </w:r>
      <w:r w:rsidRPr="00A252B7">
        <w:rPr>
          <w:color w:val="000000" w:themeColor="text1"/>
          <w:lang w:val="en-GB"/>
        </w:rPr>
        <w:t>, France</w:t>
      </w:r>
    </w:p>
    <w:p w14:paraId="322DE7A1" w14:textId="51755B1E" w:rsidR="005A47BC" w:rsidRPr="00455785" w:rsidRDefault="005B2D1E" w:rsidP="005A47BC">
      <w:pPr>
        <w:shd w:val="clear" w:color="auto" w:fill="FFFFFF"/>
        <w:jc w:val="both"/>
        <w:rPr>
          <w:color w:val="000000" w:themeColor="text1"/>
          <w:lang w:val="en-GB"/>
        </w:rPr>
      </w:pPr>
      <w:r w:rsidRPr="00455785">
        <w:rPr>
          <w:color w:val="000000" w:themeColor="text1"/>
          <w:vertAlign w:val="superscript"/>
          <w:lang w:val="en-GB"/>
        </w:rPr>
        <w:t>2</w:t>
      </w:r>
      <w:r w:rsidR="00F170C8" w:rsidRPr="00455785">
        <w:rPr>
          <w:color w:val="000000" w:themeColor="text1"/>
          <w:lang w:val="en-GB"/>
        </w:rPr>
        <w:t>INERIS</w:t>
      </w:r>
      <w:r w:rsidR="00750185" w:rsidRPr="00455785">
        <w:rPr>
          <w:color w:val="000000" w:themeColor="text1"/>
          <w:lang w:val="en-GB"/>
        </w:rPr>
        <w:t>, National Institute on Industrial En</w:t>
      </w:r>
      <w:r w:rsidR="00750185" w:rsidRPr="00775D5D">
        <w:rPr>
          <w:color w:val="000000" w:themeColor="text1"/>
          <w:lang w:val="en-GB"/>
        </w:rPr>
        <w:t xml:space="preserve">vironment and Risks, </w:t>
      </w:r>
      <w:proofErr w:type="spellStart"/>
      <w:r w:rsidR="00750185" w:rsidRPr="00775D5D">
        <w:rPr>
          <w:color w:val="000000" w:themeColor="text1"/>
          <w:lang w:val="en-GB"/>
        </w:rPr>
        <w:t>Verneuil</w:t>
      </w:r>
      <w:proofErr w:type="spellEnd"/>
      <w:r w:rsidR="00750185" w:rsidRPr="00775D5D">
        <w:rPr>
          <w:color w:val="000000" w:themeColor="text1"/>
          <w:lang w:val="en-GB"/>
        </w:rPr>
        <w:t xml:space="preserve"> </w:t>
      </w:r>
      <w:proofErr w:type="spellStart"/>
      <w:r w:rsidR="00750185" w:rsidRPr="00775D5D">
        <w:rPr>
          <w:color w:val="000000" w:themeColor="text1"/>
          <w:lang w:val="en-GB"/>
        </w:rPr>
        <w:t>en</w:t>
      </w:r>
      <w:proofErr w:type="spellEnd"/>
      <w:r w:rsidR="00750185" w:rsidRPr="00775D5D">
        <w:rPr>
          <w:color w:val="000000" w:themeColor="text1"/>
          <w:lang w:val="en-GB"/>
        </w:rPr>
        <w:t xml:space="preserve"> </w:t>
      </w:r>
      <w:proofErr w:type="spellStart"/>
      <w:r w:rsidR="00750185" w:rsidRPr="00775D5D">
        <w:rPr>
          <w:color w:val="000000" w:themeColor="text1"/>
          <w:lang w:val="en-GB"/>
        </w:rPr>
        <w:t>Halatte</w:t>
      </w:r>
      <w:proofErr w:type="spellEnd"/>
      <w:r w:rsidR="00750185" w:rsidRPr="00775D5D">
        <w:rPr>
          <w:color w:val="000000" w:themeColor="text1"/>
          <w:lang w:val="en-GB"/>
        </w:rPr>
        <w:t>, France</w:t>
      </w:r>
    </w:p>
    <w:p w14:paraId="261BEA80" w14:textId="69B8B5BB" w:rsidR="005A47BC" w:rsidRPr="00775D5D" w:rsidRDefault="005A47BC" w:rsidP="005A47BC">
      <w:pPr>
        <w:shd w:val="clear" w:color="auto" w:fill="FFFFFF"/>
        <w:jc w:val="both"/>
        <w:rPr>
          <w:color w:val="000000" w:themeColor="text1"/>
          <w:lang w:val="en-GB"/>
        </w:rPr>
      </w:pPr>
    </w:p>
    <w:p w14:paraId="17FFF044" w14:textId="77777777" w:rsidR="005A47BC" w:rsidRPr="00775D5D" w:rsidRDefault="005A47BC" w:rsidP="005A47BC">
      <w:pPr>
        <w:shd w:val="clear" w:color="auto" w:fill="FFFFFF"/>
        <w:jc w:val="both"/>
        <w:rPr>
          <w:color w:val="000000" w:themeColor="text1"/>
          <w:lang w:val="en-GB"/>
        </w:rPr>
      </w:pPr>
    </w:p>
    <w:p w14:paraId="50B12A48" w14:textId="77777777" w:rsidR="005A47BC" w:rsidRPr="00775D5D" w:rsidRDefault="005A47BC" w:rsidP="005A47BC">
      <w:pPr>
        <w:shd w:val="clear" w:color="auto" w:fill="FFFFFF"/>
        <w:jc w:val="both"/>
        <w:rPr>
          <w:color w:val="000000" w:themeColor="text1"/>
          <w:lang w:val="en-GB"/>
        </w:rPr>
      </w:pPr>
    </w:p>
    <w:p w14:paraId="37AFF43C" w14:textId="77777777" w:rsidR="005A47BC" w:rsidRPr="00775D5D" w:rsidRDefault="005A47BC" w:rsidP="005A47BC">
      <w:pPr>
        <w:shd w:val="clear" w:color="auto" w:fill="FFFFFF"/>
        <w:jc w:val="both"/>
        <w:rPr>
          <w:color w:val="000000" w:themeColor="text1"/>
          <w:lang w:val="en-GB"/>
        </w:rPr>
      </w:pPr>
    </w:p>
    <w:p w14:paraId="743960BC" w14:textId="77777777" w:rsidR="005A47BC" w:rsidRPr="00775D5D" w:rsidRDefault="005A47BC" w:rsidP="005A47BC">
      <w:pPr>
        <w:shd w:val="clear" w:color="auto" w:fill="FFFFFF"/>
        <w:jc w:val="both"/>
        <w:rPr>
          <w:color w:val="000000" w:themeColor="text1"/>
          <w:lang w:val="en-GB"/>
        </w:rPr>
      </w:pPr>
    </w:p>
    <w:p w14:paraId="5840FC50" w14:textId="77777777" w:rsidR="005A47BC" w:rsidRPr="00775D5D" w:rsidRDefault="005A47BC" w:rsidP="005A47BC">
      <w:pPr>
        <w:shd w:val="clear" w:color="auto" w:fill="FFFFFF"/>
        <w:jc w:val="both"/>
        <w:rPr>
          <w:color w:val="000000" w:themeColor="text1"/>
          <w:lang w:val="en-GB"/>
        </w:rPr>
      </w:pPr>
    </w:p>
    <w:p w14:paraId="501C782E" w14:textId="0AF5A26C" w:rsidR="005A47BC" w:rsidRPr="009171DC" w:rsidRDefault="005A47BC" w:rsidP="005A47BC">
      <w:pPr>
        <w:shd w:val="clear" w:color="auto" w:fill="FFFFFF"/>
        <w:jc w:val="both"/>
        <w:rPr>
          <w:color w:val="000000" w:themeColor="text1"/>
          <w:lang w:val="en-GB"/>
        </w:rPr>
      </w:pPr>
      <w:r w:rsidRPr="009171DC">
        <w:rPr>
          <w:b/>
          <w:color w:val="000000" w:themeColor="text1"/>
          <w:lang w:val="en-GB"/>
        </w:rPr>
        <w:t>Correspondence</w:t>
      </w:r>
      <w:r w:rsidRPr="009171DC">
        <w:rPr>
          <w:color w:val="000000" w:themeColor="text1"/>
          <w:lang w:val="en-GB"/>
        </w:rPr>
        <w:t xml:space="preserve">: Prof. Isabella Annesi-Maesano, </w:t>
      </w:r>
      <w:r w:rsidR="00E91E21">
        <w:rPr>
          <w:color w:val="000000" w:themeColor="text1"/>
          <w:lang w:val="en-GB"/>
        </w:rPr>
        <w:t xml:space="preserve">Desbrest Institute of </w:t>
      </w:r>
      <w:r w:rsidRPr="00A252B7">
        <w:rPr>
          <w:color w:val="000000" w:themeColor="text1"/>
          <w:lang w:val="en-GB"/>
        </w:rPr>
        <w:t xml:space="preserve">Epidemiology </w:t>
      </w:r>
      <w:r w:rsidR="00E91E21">
        <w:rPr>
          <w:color w:val="000000" w:themeColor="text1"/>
          <w:lang w:val="en-GB"/>
        </w:rPr>
        <w:t>and Public Health</w:t>
      </w:r>
      <w:r w:rsidRPr="00A252B7">
        <w:rPr>
          <w:color w:val="000000" w:themeColor="text1"/>
          <w:lang w:val="en-GB"/>
        </w:rPr>
        <w:t xml:space="preserve"> </w:t>
      </w:r>
      <w:r w:rsidR="00E91E21">
        <w:rPr>
          <w:color w:val="000000" w:themeColor="text1"/>
          <w:lang w:val="en-GB"/>
        </w:rPr>
        <w:t>(</w:t>
      </w:r>
      <w:r w:rsidR="000158E8">
        <w:rPr>
          <w:color w:val="000000" w:themeColor="text1"/>
          <w:lang w:val="en-GB"/>
        </w:rPr>
        <w:t>IDESP</w:t>
      </w:r>
      <w:r w:rsidR="00E91E21">
        <w:rPr>
          <w:color w:val="000000" w:themeColor="text1"/>
          <w:lang w:val="en-GB"/>
        </w:rPr>
        <w:t>)</w:t>
      </w:r>
      <w:r w:rsidR="007717AA">
        <w:rPr>
          <w:color w:val="000000" w:themeColor="text1"/>
          <w:lang w:val="en-GB"/>
        </w:rPr>
        <w:t>,</w:t>
      </w:r>
      <w:r w:rsidRPr="00A252B7">
        <w:rPr>
          <w:color w:val="000000" w:themeColor="text1"/>
          <w:lang w:val="en-GB"/>
        </w:rPr>
        <w:t xml:space="preserve"> INSERM and </w:t>
      </w:r>
      <w:r w:rsidR="00E91E21">
        <w:rPr>
          <w:color w:val="000000" w:themeColor="text1"/>
          <w:lang w:val="en-GB"/>
        </w:rPr>
        <w:t>Montpellier</w:t>
      </w:r>
      <w:r w:rsidR="00E91E21" w:rsidRPr="00A252B7">
        <w:rPr>
          <w:color w:val="000000" w:themeColor="text1"/>
          <w:lang w:val="en-GB"/>
        </w:rPr>
        <w:t xml:space="preserve"> </w:t>
      </w:r>
      <w:r w:rsidRPr="00A252B7">
        <w:rPr>
          <w:color w:val="000000" w:themeColor="text1"/>
          <w:lang w:val="en-GB"/>
        </w:rPr>
        <w:t xml:space="preserve">University, </w:t>
      </w:r>
      <w:r w:rsidR="00E91E21">
        <w:rPr>
          <w:color w:val="000000" w:themeColor="text1"/>
          <w:lang w:val="en-GB"/>
        </w:rPr>
        <w:t>588 Avenue du Doyen Girard,</w:t>
      </w:r>
      <w:r w:rsidRPr="00A252B7">
        <w:rPr>
          <w:color w:val="000000" w:themeColor="text1"/>
          <w:lang w:val="en-GB"/>
        </w:rPr>
        <w:t xml:space="preserve"> </w:t>
      </w:r>
      <w:r w:rsidR="00E91E21">
        <w:rPr>
          <w:color w:val="000000" w:themeColor="text1"/>
          <w:lang w:val="en-GB"/>
        </w:rPr>
        <w:t>Montpellier</w:t>
      </w:r>
      <w:r w:rsidRPr="00A252B7">
        <w:rPr>
          <w:color w:val="000000" w:themeColor="text1"/>
          <w:lang w:val="en-GB"/>
        </w:rPr>
        <w:t>, France</w:t>
      </w:r>
    </w:p>
    <w:p w14:paraId="6F3B64DC" w14:textId="77777777" w:rsidR="004C4945" w:rsidRPr="009171DC" w:rsidRDefault="004C4945" w:rsidP="003031E0">
      <w:pPr>
        <w:spacing w:before="120" w:after="0" w:line="360" w:lineRule="auto"/>
        <w:rPr>
          <w:lang w:val="en-GB"/>
        </w:rPr>
      </w:pPr>
    </w:p>
    <w:p w14:paraId="54993831" w14:textId="77777777" w:rsidR="003031E0" w:rsidRPr="009171DC" w:rsidRDefault="003031E0" w:rsidP="003031E0">
      <w:pPr>
        <w:spacing w:before="120" w:after="0" w:line="360" w:lineRule="auto"/>
        <w:rPr>
          <w:lang w:val="en-GB"/>
        </w:rPr>
      </w:pPr>
    </w:p>
    <w:p w14:paraId="150D9BC7" w14:textId="77777777" w:rsidR="005A47BC" w:rsidRPr="009171DC" w:rsidRDefault="005A47BC">
      <w:pPr>
        <w:rPr>
          <w:lang w:val="en-GB"/>
        </w:rPr>
      </w:pPr>
      <w:r w:rsidRPr="009171DC">
        <w:rPr>
          <w:lang w:val="en-GB"/>
        </w:rPr>
        <w:br w:type="page"/>
      </w:r>
    </w:p>
    <w:p w14:paraId="444CD401" w14:textId="4EFBD4E0" w:rsidR="00D07054" w:rsidRDefault="008B0999" w:rsidP="003031E0">
      <w:pPr>
        <w:spacing w:before="120" w:after="0" w:line="360" w:lineRule="auto"/>
        <w:jc w:val="both"/>
        <w:rPr>
          <w:lang w:val="en-GB"/>
        </w:rPr>
      </w:pPr>
      <w:r w:rsidRPr="009171DC">
        <w:rPr>
          <w:lang w:val="en-GB"/>
        </w:rPr>
        <w:lastRenderedPageBreak/>
        <w:t>S</w:t>
      </w:r>
      <w:r w:rsidR="003A6BA1" w:rsidRPr="009171DC">
        <w:rPr>
          <w:lang w:val="en-GB"/>
        </w:rPr>
        <w:t xml:space="preserve">tudies </w:t>
      </w:r>
      <w:r w:rsidR="00BA3B2D" w:rsidRPr="009171DC">
        <w:rPr>
          <w:lang w:val="en-GB"/>
        </w:rPr>
        <w:t>conducted in</w:t>
      </w:r>
      <w:r w:rsidR="003A6BA1" w:rsidRPr="009171DC">
        <w:rPr>
          <w:lang w:val="en-GB"/>
        </w:rPr>
        <w:t xml:space="preserve"> countries</w:t>
      </w:r>
      <w:r w:rsidR="00B21D09" w:rsidRPr="009171DC">
        <w:rPr>
          <w:lang w:val="en-GB"/>
        </w:rPr>
        <w:t xml:space="preserve"> around the world</w:t>
      </w:r>
      <w:r w:rsidR="003A6BA1" w:rsidRPr="009171DC">
        <w:rPr>
          <w:lang w:val="en-GB"/>
        </w:rPr>
        <w:t xml:space="preserve"> have reported </w:t>
      </w:r>
      <w:r w:rsidR="0033528B">
        <w:rPr>
          <w:lang w:val="en-GB"/>
        </w:rPr>
        <w:t>significant</w:t>
      </w:r>
      <w:r w:rsidR="003A6BA1" w:rsidRPr="009171DC">
        <w:rPr>
          <w:lang w:val="en-GB"/>
        </w:rPr>
        <w:t xml:space="preserve"> associations between </w:t>
      </w:r>
      <w:r w:rsidR="00BA3B2D" w:rsidRPr="009171DC">
        <w:rPr>
          <w:lang w:val="en-GB"/>
        </w:rPr>
        <w:t>air pollution</w:t>
      </w:r>
      <w:r w:rsidRPr="009171DC">
        <w:rPr>
          <w:lang w:val="en-GB"/>
        </w:rPr>
        <w:t xml:space="preserve"> </w:t>
      </w:r>
      <w:r w:rsidR="00BA3B2D" w:rsidRPr="009171DC">
        <w:rPr>
          <w:lang w:val="en-GB"/>
        </w:rPr>
        <w:t xml:space="preserve">and </w:t>
      </w:r>
      <w:r w:rsidR="0012718D" w:rsidRPr="009171DC">
        <w:rPr>
          <w:lang w:val="en-GB"/>
        </w:rPr>
        <w:t>COVID-19</w:t>
      </w:r>
      <w:r w:rsidR="00AF6E91" w:rsidRPr="009171DC">
        <w:rPr>
          <w:lang w:val="en-GB"/>
        </w:rPr>
        <w:t xml:space="preserve"> severity and death</w:t>
      </w:r>
      <w:r w:rsidR="003A58E3" w:rsidRPr="009171DC">
        <w:rPr>
          <w:vertAlign w:val="superscript"/>
          <w:lang w:val="en-GB"/>
        </w:rPr>
        <w:t>1</w:t>
      </w:r>
      <w:r w:rsidR="00454EDC">
        <w:rPr>
          <w:vertAlign w:val="superscript"/>
          <w:lang w:val="en-GB"/>
        </w:rPr>
        <w:t>,2</w:t>
      </w:r>
      <w:r w:rsidR="0012718D" w:rsidRPr="009171DC">
        <w:rPr>
          <w:lang w:val="en-GB"/>
        </w:rPr>
        <w:t xml:space="preserve">. </w:t>
      </w:r>
      <w:r w:rsidR="009C614B">
        <w:rPr>
          <w:lang w:val="en-GB"/>
        </w:rPr>
        <w:t>A</w:t>
      </w:r>
      <w:r w:rsidR="009C614B" w:rsidRPr="009171DC">
        <w:rPr>
          <w:lang w:val="en-GB"/>
        </w:rPr>
        <w:t xml:space="preserve">ir pollution decreases airways permeability, thus facilitating the penetration of </w:t>
      </w:r>
      <w:r w:rsidR="000D71E7">
        <w:rPr>
          <w:lang w:val="en-GB"/>
        </w:rPr>
        <w:t xml:space="preserve">the </w:t>
      </w:r>
      <w:r w:rsidR="009C614B" w:rsidRPr="009171DC">
        <w:rPr>
          <w:lang w:val="en-GB"/>
        </w:rPr>
        <w:t xml:space="preserve">SARS-CoV-2 </w:t>
      </w:r>
      <w:r w:rsidR="000D71E7">
        <w:rPr>
          <w:lang w:val="en-GB"/>
        </w:rPr>
        <w:t xml:space="preserve">virus </w:t>
      </w:r>
      <w:r w:rsidR="009C614B" w:rsidRPr="009171DC">
        <w:rPr>
          <w:lang w:val="en-GB"/>
        </w:rPr>
        <w:t>responsible for COVID-19</w:t>
      </w:r>
      <w:r w:rsidR="009C614B">
        <w:rPr>
          <w:lang w:val="en-GB"/>
        </w:rPr>
        <w:t xml:space="preserve"> and </w:t>
      </w:r>
      <w:r w:rsidR="00FF2054" w:rsidRPr="009171DC">
        <w:rPr>
          <w:lang w:val="en-GB"/>
        </w:rPr>
        <w:t>contribut</w:t>
      </w:r>
      <w:r w:rsidR="003E488B">
        <w:rPr>
          <w:lang w:val="en-GB"/>
        </w:rPr>
        <w:t>ing</w:t>
      </w:r>
      <w:r w:rsidR="00FA40F5" w:rsidRPr="009171DC">
        <w:rPr>
          <w:lang w:val="en-GB"/>
        </w:rPr>
        <w:t xml:space="preserve"> </w:t>
      </w:r>
      <w:r w:rsidR="00294279" w:rsidRPr="009171DC">
        <w:rPr>
          <w:lang w:val="en-GB"/>
        </w:rPr>
        <w:t xml:space="preserve">to </w:t>
      </w:r>
      <w:r w:rsidR="00FA40F5" w:rsidRPr="009171DC">
        <w:rPr>
          <w:lang w:val="en-GB"/>
        </w:rPr>
        <w:t xml:space="preserve">the development of chronic </w:t>
      </w:r>
      <w:r w:rsidR="00925278" w:rsidRPr="009171DC">
        <w:rPr>
          <w:lang w:val="en-GB"/>
        </w:rPr>
        <w:t>illnesses</w:t>
      </w:r>
      <w:r w:rsidR="00F170C8" w:rsidRPr="009171DC">
        <w:rPr>
          <w:lang w:val="en-GB"/>
        </w:rPr>
        <w:t>,</w:t>
      </w:r>
      <w:r w:rsidR="00FA40F5" w:rsidRPr="009171DC">
        <w:rPr>
          <w:lang w:val="en-GB"/>
        </w:rPr>
        <w:t xml:space="preserve"> </w:t>
      </w:r>
      <w:r w:rsidR="00294279" w:rsidRPr="009171DC">
        <w:rPr>
          <w:lang w:val="en-GB"/>
        </w:rPr>
        <w:t xml:space="preserve">including </w:t>
      </w:r>
      <w:r w:rsidR="00FA40F5" w:rsidRPr="009171DC">
        <w:rPr>
          <w:lang w:val="en-GB"/>
        </w:rPr>
        <w:t>cardiovascular</w:t>
      </w:r>
      <w:r w:rsidR="0002702E" w:rsidRPr="009171DC">
        <w:rPr>
          <w:lang w:val="en-GB"/>
        </w:rPr>
        <w:t>, metabolic and neurodegenerative diseases</w:t>
      </w:r>
      <w:r w:rsidR="00672D5B">
        <w:rPr>
          <w:lang w:val="en-GB"/>
        </w:rPr>
        <w:t xml:space="preserve">, </w:t>
      </w:r>
      <w:r w:rsidR="000D71E7">
        <w:rPr>
          <w:lang w:val="en-GB"/>
        </w:rPr>
        <w:t>all</w:t>
      </w:r>
      <w:r w:rsidR="00BF66F2" w:rsidRPr="009171DC">
        <w:rPr>
          <w:lang w:val="en-GB"/>
        </w:rPr>
        <w:t xml:space="preserve"> known to </w:t>
      </w:r>
      <w:r w:rsidR="0002702E" w:rsidRPr="009171DC">
        <w:rPr>
          <w:lang w:val="en-GB"/>
        </w:rPr>
        <w:t xml:space="preserve">increase the risk of suffering from </w:t>
      </w:r>
      <w:r w:rsidR="009C614B">
        <w:rPr>
          <w:lang w:val="en-GB"/>
        </w:rPr>
        <w:t>sever</w:t>
      </w:r>
      <w:r w:rsidR="00672D5B">
        <w:rPr>
          <w:lang w:val="en-GB"/>
        </w:rPr>
        <w:t>e</w:t>
      </w:r>
      <w:r w:rsidR="009C614B">
        <w:rPr>
          <w:lang w:val="en-GB"/>
        </w:rPr>
        <w:t xml:space="preserve"> forms</w:t>
      </w:r>
      <w:r w:rsidR="00180910" w:rsidRPr="00180910">
        <w:rPr>
          <w:lang w:val="en-GB"/>
        </w:rPr>
        <w:t xml:space="preserve"> </w:t>
      </w:r>
      <w:r w:rsidR="00180910" w:rsidRPr="009171DC">
        <w:rPr>
          <w:lang w:val="en-GB"/>
        </w:rPr>
        <w:t>COVID-19</w:t>
      </w:r>
      <w:r w:rsidR="00180910">
        <w:rPr>
          <w:lang w:val="en-GB"/>
        </w:rPr>
        <w:t xml:space="preserve"> leading to death</w:t>
      </w:r>
      <w:r w:rsidR="00454EDC" w:rsidRPr="009171DC">
        <w:rPr>
          <w:vertAlign w:val="superscript"/>
          <w:lang w:val="en-GB"/>
        </w:rPr>
        <w:t>1</w:t>
      </w:r>
      <w:r w:rsidR="0002702E" w:rsidRPr="009171DC">
        <w:rPr>
          <w:lang w:val="en-GB"/>
        </w:rPr>
        <w:t xml:space="preserve">. </w:t>
      </w:r>
      <w:r w:rsidR="00925278" w:rsidRPr="009171DC">
        <w:rPr>
          <w:lang w:val="en-GB"/>
        </w:rPr>
        <w:t xml:space="preserve">This </w:t>
      </w:r>
      <w:r w:rsidR="00545A00" w:rsidRPr="009171DC">
        <w:rPr>
          <w:lang w:val="en-GB"/>
        </w:rPr>
        <w:t xml:space="preserve">observation </w:t>
      </w:r>
      <w:r w:rsidR="00672D5B">
        <w:rPr>
          <w:lang w:val="en-GB"/>
        </w:rPr>
        <w:t xml:space="preserve">has </w:t>
      </w:r>
      <w:r w:rsidR="00CE79CD">
        <w:rPr>
          <w:lang w:val="en-GB"/>
        </w:rPr>
        <w:t>led to</w:t>
      </w:r>
      <w:r w:rsidR="00925278" w:rsidRPr="009171DC">
        <w:rPr>
          <w:lang w:val="en-GB"/>
        </w:rPr>
        <w:t xml:space="preserve"> the hypothesis that air pollution </w:t>
      </w:r>
      <w:r w:rsidR="008812D6">
        <w:rPr>
          <w:lang w:val="en-GB"/>
        </w:rPr>
        <w:t>diminution</w:t>
      </w:r>
      <w:r w:rsidR="00925278" w:rsidRPr="009171DC">
        <w:rPr>
          <w:lang w:val="en-GB"/>
        </w:rPr>
        <w:t xml:space="preserve"> </w:t>
      </w:r>
      <w:r w:rsidR="00672D5B">
        <w:rPr>
          <w:lang w:val="en-GB"/>
        </w:rPr>
        <w:t>during lockdown</w:t>
      </w:r>
      <w:r w:rsidR="000D71E7">
        <w:rPr>
          <w:lang w:val="en-GB"/>
        </w:rPr>
        <w:t>s</w:t>
      </w:r>
      <w:r w:rsidR="00672D5B">
        <w:rPr>
          <w:lang w:val="en-GB"/>
        </w:rPr>
        <w:t xml:space="preserve"> </w:t>
      </w:r>
      <w:r w:rsidR="000D71E7">
        <w:rPr>
          <w:lang w:val="en-GB"/>
        </w:rPr>
        <w:t>may have</w:t>
      </w:r>
      <w:r w:rsidR="000D71E7" w:rsidRPr="009171DC">
        <w:rPr>
          <w:lang w:val="en-GB"/>
        </w:rPr>
        <w:t xml:space="preserve"> </w:t>
      </w:r>
      <w:r w:rsidR="00CE79CD">
        <w:rPr>
          <w:lang w:val="en-GB"/>
        </w:rPr>
        <w:t>engendered</w:t>
      </w:r>
      <w:r w:rsidR="00925278" w:rsidRPr="009171DC">
        <w:rPr>
          <w:lang w:val="en-GB"/>
        </w:rPr>
        <w:t xml:space="preserve"> a reduction in COVID-19 severity and mortality</w:t>
      </w:r>
      <w:r w:rsidR="00CE79CD">
        <w:rPr>
          <w:lang w:val="en-GB"/>
        </w:rPr>
        <w:t xml:space="preserve">. </w:t>
      </w:r>
    </w:p>
    <w:p w14:paraId="7BCB125F" w14:textId="74A1AEE3" w:rsidR="00ED59E0" w:rsidRPr="002D41D0" w:rsidRDefault="00F02698" w:rsidP="00ED59E0">
      <w:pPr>
        <w:pStyle w:val="IAM"/>
        <w:rPr>
          <w:rFonts w:cstheme="minorBidi"/>
          <w:cs/>
          <w:lang w:bidi="bn-IN"/>
        </w:rPr>
      </w:pPr>
      <w:r w:rsidRPr="00775D5D">
        <w:t>Regrettably</w:t>
      </w:r>
      <w:r w:rsidR="008812D6" w:rsidRPr="00775D5D">
        <w:t>,</w:t>
      </w:r>
      <w:r w:rsidR="00180910" w:rsidRPr="00775D5D">
        <w:t xml:space="preserve"> available</w:t>
      </w:r>
      <w:r w:rsidR="008812D6" w:rsidRPr="00775D5D">
        <w:t xml:space="preserve"> </w:t>
      </w:r>
      <w:r w:rsidR="00180910" w:rsidRPr="00775D5D">
        <w:t>data show that</w:t>
      </w:r>
      <w:r w:rsidR="006C1DF9" w:rsidRPr="00775D5D">
        <w:t xml:space="preserve"> </w:t>
      </w:r>
      <w:r w:rsidR="00D3771D" w:rsidRPr="00775D5D">
        <w:t xml:space="preserve">results on air pollution diminution and related </w:t>
      </w:r>
      <w:r w:rsidR="003B5772" w:rsidRPr="00775D5D">
        <w:t xml:space="preserve">benefit during lockdown </w:t>
      </w:r>
      <w:r w:rsidR="00D3771D" w:rsidRPr="00775D5D">
        <w:t>were contradictory</w:t>
      </w:r>
      <w:r w:rsidR="008812D6" w:rsidRPr="00775D5D">
        <w:t xml:space="preserve">. </w:t>
      </w:r>
      <w:r w:rsidR="00455785" w:rsidRPr="00775D5D">
        <w:t>Using</w:t>
      </w:r>
      <w:r w:rsidR="00454EDC" w:rsidRPr="00775D5D">
        <w:t xml:space="preserve"> </w:t>
      </w:r>
      <w:r w:rsidR="00466064" w:rsidRPr="00775D5D">
        <w:t>national monitoring station assessments</w:t>
      </w:r>
      <w:r w:rsidR="00455785" w:rsidRPr="00775D5D">
        <w:t>,</w:t>
      </w:r>
      <w:r w:rsidR="00454EDC" w:rsidRPr="00775D5D">
        <w:t xml:space="preserve"> the European Environmental Agency showed that </w:t>
      </w:r>
      <w:r w:rsidR="00466064" w:rsidRPr="00775D5D">
        <w:t xml:space="preserve">lockdown measures in 2020 have resulted in air pollution </w:t>
      </w:r>
      <w:r w:rsidR="00991A98">
        <w:t>modification</w:t>
      </w:r>
      <w:r w:rsidR="00991A98" w:rsidRPr="00775D5D">
        <w:t xml:space="preserve">s </w:t>
      </w:r>
      <w:r w:rsidR="00466064" w:rsidRPr="00775D5D">
        <w:t>in air pollutants concentrations</w:t>
      </w:r>
      <w:r w:rsidR="003E488B">
        <w:t>,</w:t>
      </w:r>
      <w:r w:rsidR="00466064" w:rsidRPr="00775D5D">
        <w:t xml:space="preserve"> though with notable differences among </w:t>
      </w:r>
      <w:r w:rsidR="00991A98">
        <w:t xml:space="preserve">air </w:t>
      </w:r>
      <w:r w:rsidR="00466064" w:rsidRPr="00775D5D">
        <w:t>pollutants, cities and countries</w:t>
      </w:r>
      <w:r w:rsidR="00991A98">
        <w:t xml:space="preserve"> and sometimes not significantly</w:t>
      </w:r>
      <w:r w:rsidR="00454EDC" w:rsidRPr="00775D5D">
        <w:rPr>
          <w:vertAlign w:val="superscript"/>
        </w:rPr>
        <w:t>3</w:t>
      </w:r>
      <w:r w:rsidR="00A54A20" w:rsidRPr="00775D5D">
        <w:t xml:space="preserve">. </w:t>
      </w:r>
      <w:r w:rsidR="00455785" w:rsidRPr="00775D5D">
        <w:t>Similarly,</w:t>
      </w:r>
      <w:r w:rsidR="00A54A20" w:rsidRPr="00775D5D">
        <w:t xml:space="preserve"> a</w:t>
      </w:r>
      <w:r w:rsidR="000158E8" w:rsidRPr="00775D5D">
        <w:t>mong other examples, g</w:t>
      </w:r>
      <w:r w:rsidR="001B373F" w:rsidRPr="00775D5D">
        <w:t>aseous and particulate matter (PM) conce</w:t>
      </w:r>
      <w:r w:rsidR="00905CF0" w:rsidRPr="00775D5D">
        <w:t>n</w:t>
      </w:r>
      <w:r w:rsidR="001B373F" w:rsidRPr="00775D5D">
        <w:t>trations</w:t>
      </w:r>
      <w:r w:rsidR="008812D6" w:rsidRPr="00775D5D">
        <w:t xml:space="preserve"> diminished </w:t>
      </w:r>
      <w:r w:rsidR="003B5772" w:rsidRPr="00775D5D">
        <w:t>during the</w:t>
      </w:r>
      <w:r w:rsidR="008812D6" w:rsidRPr="00775D5D">
        <w:t xml:space="preserve"> 2020 spring</w:t>
      </w:r>
      <w:r w:rsidR="003B5772" w:rsidRPr="00775D5D">
        <w:t xml:space="preserve"> lockdown</w:t>
      </w:r>
      <w:r w:rsidR="008812D6" w:rsidRPr="00775D5D">
        <w:t xml:space="preserve"> in</w:t>
      </w:r>
      <w:r w:rsidR="00067A35" w:rsidRPr="00775D5D">
        <w:t xml:space="preserve"> </w:t>
      </w:r>
      <w:r w:rsidR="00BF66F2" w:rsidRPr="00775D5D">
        <w:t>forty-four</w:t>
      </w:r>
      <w:r w:rsidR="00067A35" w:rsidRPr="00775D5D">
        <w:t xml:space="preserve"> citie</w:t>
      </w:r>
      <w:r w:rsidR="00F170C8" w:rsidRPr="00775D5D">
        <w:t xml:space="preserve">s in northern China </w:t>
      </w:r>
      <w:r w:rsidR="00067A35" w:rsidRPr="00775D5D">
        <w:t xml:space="preserve">due to reduced human </w:t>
      </w:r>
      <w:r w:rsidR="00FD130A" w:rsidRPr="00775D5D">
        <w:t>activity</w:t>
      </w:r>
      <w:r w:rsidR="00067A35" w:rsidRPr="00775D5D">
        <w:t xml:space="preserve"> and travel restrictions</w:t>
      </w:r>
      <w:r w:rsidR="00454EDC" w:rsidRPr="00775D5D">
        <w:rPr>
          <w:vertAlign w:val="superscript"/>
        </w:rPr>
        <w:t>4</w:t>
      </w:r>
      <w:r w:rsidR="00455785" w:rsidRPr="00775D5D">
        <w:t xml:space="preserve">. However, during the same period in </w:t>
      </w:r>
      <w:r w:rsidR="000D71E7" w:rsidRPr="00775D5D">
        <w:t>the</w:t>
      </w:r>
      <w:r w:rsidR="003B5772" w:rsidRPr="00775D5D">
        <w:t xml:space="preserve"> </w:t>
      </w:r>
      <w:r w:rsidR="00056E83" w:rsidRPr="00775D5D">
        <w:t>UK</w:t>
      </w:r>
      <w:r w:rsidR="003E488B">
        <w:t>,</w:t>
      </w:r>
      <w:r w:rsidR="00056E83" w:rsidRPr="00775D5D">
        <w:t xml:space="preserve"> </w:t>
      </w:r>
      <w:r w:rsidR="003B5772" w:rsidRPr="00775D5D">
        <w:t xml:space="preserve">after </w:t>
      </w:r>
      <w:r w:rsidR="00455785" w:rsidRPr="00775D5D">
        <w:t xml:space="preserve">an </w:t>
      </w:r>
      <w:r w:rsidR="003B5772" w:rsidRPr="00775D5D">
        <w:t>initial abrupt reduction</w:t>
      </w:r>
      <w:r w:rsidR="003E488B">
        <w:t>,</w:t>
      </w:r>
      <w:r w:rsidR="003B5772" w:rsidRPr="00775D5D">
        <w:t xml:space="preserve"> </w:t>
      </w:r>
      <w:r w:rsidR="005B434E" w:rsidRPr="00775D5D">
        <w:t>nitrogen dioxide (</w:t>
      </w:r>
      <w:r w:rsidR="00056E83" w:rsidRPr="00775D5D">
        <w:t>NO</w:t>
      </w:r>
      <w:r w:rsidR="00056E83" w:rsidRPr="00775D5D">
        <w:rPr>
          <w:vertAlign w:val="subscript"/>
        </w:rPr>
        <w:t>2</w:t>
      </w:r>
      <w:r w:rsidR="005B434E" w:rsidRPr="00775D5D">
        <w:t>)</w:t>
      </w:r>
      <w:r w:rsidR="00056E83" w:rsidRPr="00775D5D">
        <w:t xml:space="preserve"> </w:t>
      </w:r>
      <w:r w:rsidR="003B5772" w:rsidRPr="00775D5D">
        <w:t>increased gradually</w:t>
      </w:r>
      <w:r w:rsidR="00056E83" w:rsidRPr="00775D5D">
        <w:t xml:space="preserve">, </w:t>
      </w:r>
      <w:r w:rsidR="00F170C8" w:rsidRPr="00775D5D">
        <w:t>suggesting</w:t>
      </w:r>
      <w:r w:rsidR="00056E83" w:rsidRPr="00775D5D">
        <w:t xml:space="preserve"> that the return of vehicles to the road during early lockdown had already offset much of the</w:t>
      </w:r>
      <w:r w:rsidR="000D71E7" w:rsidRPr="00775D5D">
        <w:t xml:space="preserve"> temporary</w:t>
      </w:r>
      <w:r w:rsidR="00056E83" w:rsidRPr="00775D5D">
        <w:t xml:space="preserve"> air quality improvement</w:t>
      </w:r>
      <w:r w:rsidR="00466064" w:rsidRPr="00775D5D">
        <w:rPr>
          <w:vertAlign w:val="superscript"/>
        </w:rPr>
        <w:t>5</w:t>
      </w:r>
      <w:r w:rsidR="00056E83" w:rsidRPr="00775D5D">
        <w:t>.</w:t>
      </w:r>
      <w:r w:rsidR="00605228" w:rsidRPr="00775D5D">
        <w:t xml:space="preserve"> </w:t>
      </w:r>
      <w:r w:rsidR="00455785" w:rsidRPr="00775D5D">
        <w:t>Regarding health impact, t</w:t>
      </w:r>
      <w:r w:rsidR="00905CF0" w:rsidRPr="00775D5D">
        <w:t>he risk of mortality</w:t>
      </w:r>
      <w:r w:rsidR="00A52859" w:rsidRPr="00775D5D">
        <w:t xml:space="preserve"> during lockdown</w:t>
      </w:r>
      <w:r w:rsidR="00905CF0" w:rsidRPr="00775D5D">
        <w:t xml:space="preserve"> diminished </w:t>
      </w:r>
      <w:r w:rsidR="00E01AE7" w:rsidRPr="00775D5D">
        <w:t xml:space="preserve">alongside </w:t>
      </w:r>
      <w:r w:rsidR="00905CF0" w:rsidRPr="00775D5D">
        <w:t>major air pollutants</w:t>
      </w:r>
      <w:r w:rsidR="003B5772" w:rsidRPr="00775D5D">
        <w:t xml:space="preserve"> </w:t>
      </w:r>
      <w:r w:rsidR="007B2EE6" w:rsidRPr="00775D5D">
        <w:t xml:space="preserve">in </w:t>
      </w:r>
      <w:r w:rsidR="00D250FA" w:rsidRPr="00775D5D">
        <w:t>Delhi, India</w:t>
      </w:r>
      <w:r w:rsidR="00466064" w:rsidRPr="00775D5D">
        <w:rPr>
          <w:vertAlign w:val="superscript"/>
        </w:rPr>
        <w:t>6</w:t>
      </w:r>
      <w:r w:rsidR="00466064" w:rsidRPr="00775D5D">
        <w:t xml:space="preserve">, </w:t>
      </w:r>
      <w:r w:rsidR="007B2EE6" w:rsidRPr="00775D5D">
        <w:t xml:space="preserve">but not in </w:t>
      </w:r>
      <w:r w:rsidR="00905CF0" w:rsidRPr="00775D5D">
        <w:t>Mexico City, Mexico</w:t>
      </w:r>
      <w:r w:rsidR="00E01AE7" w:rsidRPr="00775D5D">
        <w:t>,</w:t>
      </w:r>
      <w:r w:rsidR="007B2EE6" w:rsidRPr="00775D5D">
        <w:t xml:space="preserve"> </w:t>
      </w:r>
      <w:r w:rsidR="00905CF0" w:rsidRPr="00775D5D">
        <w:t>w</w:t>
      </w:r>
      <w:r w:rsidR="00E01AE7" w:rsidRPr="00775D5D">
        <w:t>h</w:t>
      </w:r>
      <w:r w:rsidR="00905CF0" w:rsidRPr="00775D5D">
        <w:t>ere an inverse relationship w</w:t>
      </w:r>
      <w:r w:rsidR="006A43E8" w:rsidRPr="00775D5D">
        <w:t>a</w:t>
      </w:r>
      <w:r w:rsidR="00905CF0" w:rsidRPr="00775D5D">
        <w:t xml:space="preserve">s found </w:t>
      </w:r>
      <w:r w:rsidR="006A43E8" w:rsidRPr="00775D5D">
        <w:t>in the case of fine</w:t>
      </w:r>
      <w:r w:rsidR="00905CF0" w:rsidRPr="00775D5D">
        <w:t xml:space="preserve"> particulate</w:t>
      </w:r>
      <w:r w:rsidR="006A43E8" w:rsidRPr="00775D5D">
        <w:t xml:space="preserve"> matter</w:t>
      </w:r>
      <w:r w:rsidR="00466064" w:rsidRPr="00775D5D">
        <w:rPr>
          <w:vertAlign w:val="superscript"/>
        </w:rPr>
        <w:t>7</w:t>
      </w:r>
      <w:r w:rsidR="00114084" w:rsidRPr="00775D5D">
        <w:t>.</w:t>
      </w:r>
      <w:r w:rsidR="004B69F0" w:rsidRPr="00775D5D">
        <w:t xml:space="preserve"> </w:t>
      </w:r>
      <w:r w:rsidR="006A43E8" w:rsidRPr="00775D5D">
        <w:t>Furthermore</w:t>
      </w:r>
      <w:r w:rsidR="004B69F0" w:rsidRPr="00775D5D">
        <w:t xml:space="preserve">, </w:t>
      </w:r>
      <w:r w:rsidR="00D250FA" w:rsidRPr="00775D5D">
        <w:t>no reduction in</w:t>
      </w:r>
      <w:r w:rsidR="00ED59E0" w:rsidRPr="00775D5D">
        <w:t xml:space="preserve"> </w:t>
      </w:r>
      <w:r w:rsidR="006A43E8" w:rsidRPr="00775D5D">
        <w:t xml:space="preserve">COVID-19 </w:t>
      </w:r>
      <w:r w:rsidR="00ED59E0" w:rsidRPr="00775D5D">
        <w:t xml:space="preserve">deaths was </w:t>
      </w:r>
      <w:r w:rsidR="00D250FA" w:rsidRPr="00775D5D">
        <w:t xml:space="preserve">associated with </w:t>
      </w:r>
      <w:r w:rsidR="00ED59E0" w:rsidRPr="00775D5D">
        <w:t>lockdown</w:t>
      </w:r>
      <w:r w:rsidR="00E01AE7" w:rsidRPr="00775D5D">
        <w:t>s</w:t>
      </w:r>
      <w:r w:rsidR="00ED59E0" w:rsidRPr="00775D5D">
        <w:t xml:space="preserve"> as defined by social isolation (staying at home) in 87 regions and countries in the world</w:t>
      </w:r>
      <w:r w:rsidR="00466064" w:rsidRPr="00775D5D">
        <w:rPr>
          <w:vertAlign w:val="superscript"/>
        </w:rPr>
        <w:t>8</w:t>
      </w:r>
      <w:r w:rsidR="00114084" w:rsidRPr="00775D5D">
        <w:t>.</w:t>
      </w:r>
      <w:r w:rsidR="00ED59E0">
        <w:t xml:space="preserve"> </w:t>
      </w:r>
    </w:p>
    <w:p w14:paraId="76FB0F39" w14:textId="771EB2BC" w:rsidR="00B22E91" w:rsidRDefault="001407A3" w:rsidP="003031E0">
      <w:pPr>
        <w:spacing w:before="120" w:after="0" w:line="360" w:lineRule="auto"/>
        <w:jc w:val="both"/>
        <w:rPr>
          <w:lang w:val="en-GB"/>
        </w:rPr>
      </w:pPr>
      <w:r w:rsidRPr="009171DC">
        <w:rPr>
          <w:lang w:val="en-GB"/>
        </w:rPr>
        <w:t>We</w:t>
      </w:r>
      <w:r>
        <w:rPr>
          <w:lang w:val="en-GB"/>
        </w:rPr>
        <w:t xml:space="preserve"> used </w:t>
      </w:r>
      <w:r w:rsidRPr="009171DC">
        <w:rPr>
          <w:lang w:val="en-GB"/>
        </w:rPr>
        <w:t xml:space="preserve">the Spring 2020 </w:t>
      </w:r>
      <w:r w:rsidR="00E01AE7">
        <w:rPr>
          <w:lang w:val="en-GB"/>
        </w:rPr>
        <w:t xml:space="preserve">lockdown </w:t>
      </w:r>
      <w:r>
        <w:rPr>
          <w:lang w:val="en-GB"/>
        </w:rPr>
        <w:t>as a natural experiment</w:t>
      </w:r>
      <w:r w:rsidRPr="00466FD8">
        <w:rPr>
          <w:lang w:val="en-GB"/>
        </w:rPr>
        <w:t xml:space="preserve"> </w:t>
      </w:r>
      <w:r w:rsidR="0033672E" w:rsidRPr="00466FD8">
        <w:rPr>
          <w:lang w:val="en-GB"/>
        </w:rPr>
        <w:t xml:space="preserve">to </w:t>
      </w:r>
      <w:r w:rsidR="00E01AE7">
        <w:rPr>
          <w:lang w:val="en-GB"/>
        </w:rPr>
        <w:t>understand</w:t>
      </w:r>
      <w:r w:rsidR="00E01AE7" w:rsidRPr="00466FD8">
        <w:rPr>
          <w:lang w:val="en-GB"/>
        </w:rPr>
        <w:t xml:space="preserve"> </w:t>
      </w:r>
      <w:r w:rsidR="00061424" w:rsidRPr="00466FD8">
        <w:rPr>
          <w:lang w:val="en-GB"/>
        </w:rPr>
        <w:t>what happen</w:t>
      </w:r>
      <w:r w:rsidR="00E01AE7">
        <w:rPr>
          <w:lang w:val="en-GB"/>
        </w:rPr>
        <w:t>ed</w:t>
      </w:r>
      <w:r w:rsidR="00061424" w:rsidRPr="00466FD8">
        <w:rPr>
          <w:lang w:val="en-GB"/>
        </w:rPr>
        <w:t xml:space="preserve"> to </w:t>
      </w:r>
      <w:r w:rsidR="003E488B">
        <w:rPr>
          <w:lang w:val="en-GB"/>
        </w:rPr>
        <w:t xml:space="preserve">the </w:t>
      </w:r>
      <w:r w:rsidR="0033672E" w:rsidRPr="00466FD8">
        <w:rPr>
          <w:lang w:val="en-GB"/>
        </w:rPr>
        <w:t xml:space="preserve">COVID-19 </w:t>
      </w:r>
      <w:r w:rsidR="001B373F">
        <w:rPr>
          <w:lang w:val="en-GB"/>
        </w:rPr>
        <w:t>syndemic</w:t>
      </w:r>
      <w:r w:rsidR="00061424" w:rsidRPr="00466FD8">
        <w:rPr>
          <w:lang w:val="en-GB"/>
        </w:rPr>
        <w:t xml:space="preserve"> </w:t>
      </w:r>
      <w:r w:rsidR="00044B18">
        <w:rPr>
          <w:lang w:val="en-GB"/>
        </w:rPr>
        <w:t xml:space="preserve">in terms of mortality </w:t>
      </w:r>
      <w:r w:rsidR="00061424" w:rsidRPr="00466FD8">
        <w:rPr>
          <w:lang w:val="en-GB"/>
        </w:rPr>
        <w:t xml:space="preserve">when air pollution </w:t>
      </w:r>
      <w:r w:rsidR="00E01AE7">
        <w:rPr>
          <w:lang w:val="en-GB"/>
        </w:rPr>
        <w:t>was</w:t>
      </w:r>
      <w:r w:rsidR="00E01AE7" w:rsidRPr="00466FD8">
        <w:rPr>
          <w:lang w:val="en-GB"/>
        </w:rPr>
        <w:t xml:space="preserve"> </w:t>
      </w:r>
      <w:r w:rsidR="00061424" w:rsidRPr="00466FD8">
        <w:rPr>
          <w:lang w:val="en-GB"/>
        </w:rPr>
        <w:t>abruptly lowered</w:t>
      </w:r>
      <w:r w:rsidR="004A5D23">
        <w:rPr>
          <w:lang w:val="en-GB"/>
        </w:rPr>
        <w:t xml:space="preserve"> in </w:t>
      </w:r>
      <w:r w:rsidR="00027A31">
        <w:rPr>
          <w:lang w:val="en-GB"/>
        </w:rPr>
        <w:t xml:space="preserve">the </w:t>
      </w:r>
      <w:r w:rsidR="004A5D23">
        <w:rPr>
          <w:lang w:val="en-GB"/>
        </w:rPr>
        <w:t>Europe</w:t>
      </w:r>
      <w:r w:rsidR="00027A31">
        <w:rPr>
          <w:lang w:val="en-GB"/>
        </w:rPr>
        <w:t>an region</w:t>
      </w:r>
      <w:r w:rsidR="00061424" w:rsidRPr="00466FD8">
        <w:rPr>
          <w:lang w:val="en-GB"/>
        </w:rPr>
        <w:t>, provid</w:t>
      </w:r>
      <w:r w:rsidR="00466FD8" w:rsidRPr="00466FD8">
        <w:rPr>
          <w:lang w:val="en-GB"/>
        </w:rPr>
        <w:t>ing</w:t>
      </w:r>
      <w:r w:rsidR="00061424" w:rsidRPr="00466FD8">
        <w:rPr>
          <w:lang w:val="en-GB"/>
        </w:rPr>
        <w:t xml:space="preserve"> a distinct look at short</w:t>
      </w:r>
      <w:r w:rsidR="00E01AE7">
        <w:rPr>
          <w:lang w:val="en-GB"/>
        </w:rPr>
        <w:t>-</w:t>
      </w:r>
      <w:r w:rsidR="00061424" w:rsidRPr="00466FD8">
        <w:rPr>
          <w:lang w:val="en-GB"/>
        </w:rPr>
        <w:t xml:space="preserve">term health impacts </w:t>
      </w:r>
      <w:r w:rsidR="004A5D23">
        <w:rPr>
          <w:lang w:val="en-GB"/>
        </w:rPr>
        <w:t xml:space="preserve">of lockdown </w:t>
      </w:r>
      <w:r w:rsidR="00061424" w:rsidRPr="00466FD8">
        <w:rPr>
          <w:lang w:val="en-GB"/>
        </w:rPr>
        <w:t>to compare against the long</w:t>
      </w:r>
      <w:r w:rsidR="00027A31">
        <w:rPr>
          <w:lang w:val="en-GB"/>
        </w:rPr>
        <w:t>-</w:t>
      </w:r>
      <w:r w:rsidR="00061424" w:rsidRPr="00466FD8">
        <w:rPr>
          <w:lang w:val="en-GB"/>
        </w:rPr>
        <w:t xml:space="preserve">term health impacts </w:t>
      </w:r>
      <w:r w:rsidR="00466FD8" w:rsidRPr="00466FD8">
        <w:rPr>
          <w:lang w:val="en-GB"/>
        </w:rPr>
        <w:t xml:space="preserve">observed in studies </w:t>
      </w:r>
      <w:r w:rsidR="00E01AE7">
        <w:rPr>
          <w:lang w:val="en-GB"/>
        </w:rPr>
        <w:t>relating</w:t>
      </w:r>
      <w:r w:rsidR="00061424" w:rsidRPr="00466FD8">
        <w:rPr>
          <w:lang w:val="en-GB"/>
        </w:rPr>
        <w:t xml:space="preserve"> air pollution</w:t>
      </w:r>
      <w:r w:rsidR="00466FD8" w:rsidRPr="00466FD8">
        <w:rPr>
          <w:lang w:val="en-GB"/>
        </w:rPr>
        <w:t xml:space="preserve"> exposure to COVID</w:t>
      </w:r>
      <w:r w:rsidR="00114084">
        <w:rPr>
          <w:lang w:val="en-GB"/>
        </w:rPr>
        <w:t>-</w:t>
      </w:r>
      <w:r w:rsidR="00466FD8" w:rsidRPr="00466FD8">
        <w:rPr>
          <w:lang w:val="en-GB"/>
        </w:rPr>
        <w:t>19 in highly polluted zon</w:t>
      </w:r>
      <w:r w:rsidR="00466FD8">
        <w:rPr>
          <w:lang w:val="en-GB"/>
        </w:rPr>
        <w:t>e</w:t>
      </w:r>
      <w:r w:rsidR="00466FD8" w:rsidRPr="00466FD8">
        <w:rPr>
          <w:lang w:val="en-GB"/>
        </w:rPr>
        <w:t>s</w:t>
      </w:r>
      <w:r w:rsidR="00605228" w:rsidRPr="00605228">
        <w:rPr>
          <w:vertAlign w:val="superscript"/>
          <w:lang w:val="en-GB"/>
        </w:rPr>
        <w:t>1</w:t>
      </w:r>
      <w:r w:rsidR="00061424" w:rsidRPr="00466FD8">
        <w:rPr>
          <w:lang w:val="en-GB"/>
        </w:rPr>
        <w:t>. COVID</w:t>
      </w:r>
      <w:r w:rsidR="00466FD8" w:rsidRPr="00466FD8">
        <w:rPr>
          <w:lang w:val="en-GB"/>
        </w:rPr>
        <w:t>-19</w:t>
      </w:r>
      <w:r w:rsidR="00061424" w:rsidRPr="00466FD8">
        <w:rPr>
          <w:lang w:val="en-GB"/>
        </w:rPr>
        <w:t xml:space="preserve"> </w:t>
      </w:r>
      <w:r w:rsidR="00466FD8">
        <w:rPr>
          <w:lang w:val="en-GB"/>
        </w:rPr>
        <w:t>provides</w:t>
      </w:r>
      <w:r w:rsidR="00061424" w:rsidRPr="00466FD8">
        <w:rPr>
          <w:lang w:val="en-GB"/>
        </w:rPr>
        <w:t xml:space="preserve"> a choice </w:t>
      </w:r>
      <w:r w:rsidR="00466FD8" w:rsidRPr="00466FD8">
        <w:rPr>
          <w:lang w:val="en-GB"/>
        </w:rPr>
        <w:t xml:space="preserve">criterion </w:t>
      </w:r>
      <w:r w:rsidR="00061424" w:rsidRPr="00466FD8">
        <w:rPr>
          <w:lang w:val="en-GB"/>
        </w:rPr>
        <w:t xml:space="preserve">for </w:t>
      </w:r>
      <w:r w:rsidR="00466FD8" w:rsidRPr="00466FD8">
        <w:rPr>
          <w:lang w:val="en-GB"/>
        </w:rPr>
        <w:t xml:space="preserve">such a </w:t>
      </w:r>
      <w:r w:rsidR="00061424" w:rsidRPr="00466FD8">
        <w:rPr>
          <w:lang w:val="en-GB"/>
        </w:rPr>
        <w:t>compari</w:t>
      </w:r>
      <w:r w:rsidR="00466FD8" w:rsidRPr="00466FD8">
        <w:rPr>
          <w:lang w:val="en-GB"/>
        </w:rPr>
        <w:t>son</w:t>
      </w:r>
      <w:r w:rsidR="00061424" w:rsidRPr="00466FD8">
        <w:rPr>
          <w:lang w:val="en-GB"/>
        </w:rPr>
        <w:t xml:space="preserve"> because it is a specific disease</w:t>
      </w:r>
      <w:r w:rsidR="00EB59E2">
        <w:rPr>
          <w:lang w:val="en-GB"/>
        </w:rPr>
        <w:t>,</w:t>
      </w:r>
      <w:r w:rsidR="00061424" w:rsidRPr="00466FD8">
        <w:rPr>
          <w:lang w:val="en-GB"/>
        </w:rPr>
        <w:t xml:space="preserve"> which </w:t>
      </w:r>
      <w:r w:rsidR="003E488B">
        <w:rPr>
          <w:lang w:val="en-GB"/>
        </w:rPr>
        <w:t>wa</w:t>
      </w:r>
      <w:r w:rsidR="003E488B" w:rsidRPr="00466FD8">
        <w:rPr>
          <w:lang w:val="en-GB"/>
        </w:rPr>
        <w:t xml:space="preserve">s the same in each country </w:t>
      </w:r>
      <w:r w:rsidR="00EB59E2" w:rsidRPr="00466FD8">
        <w:rPr>
          <w:lang w:val="en-GB"/>
        </w:rPr>
        <w:t xml:space="preserve">at the start of the </w:t>
      </w:r>
      <w:r w:rsidR="00775D5D">
        <w:rPr>
          <w:lang w:val="en-GB"/>
        </w:rPr>
        <w:t>epidemics</w:t>
      </w:r>
      <w:r w:rsidR="00EB59E2">
        <w:rPr>
          <w:lang w:val="en-GB"/>
        </w:rPr>
        <w:t xml:space="preserve"> </w:t>
      </w:r>
      <w:r w:rsidR="00E66649">
        <w:rPr>
          <w:lang w:val="en-GB"/>
        </w:rPr>
        <w:t>with</w:t>
      </w:r>
      <w:r w:rsidR="00061424" w:rsidRPr="00466FD8">
        <w:rPr>
          <w:lang w:val="en-GB"/>
        </w:rPr>
        <w:t xml:space="preserve"> </w:t>
      </w:r>
      <w:r w:rsidR="003E488B">
        <w:rPr>
          <w:lang w:val="en-GB"/>
        </w:rPr>
        <w:t xml:space="preserve">similar </w:t>
      </w:r>
      <w:r w:rsidR="00061424" w:rsidRPr="00466FD8">
        <w:rPr>
          <w:lang w:val="en-GB"/>
        </w:rPr>
        <w:t>immunity for everyone.</w:t>
      </w:r>
      <w:r w:rsidR="00061424">
        <w:rPr>
          <w:lang w:val="en-GB"/>
        </w:rPr>
        <w:t xml:space="preserve"> </w:t>
      </w:r>
    </w:p>
    <w:p w14:paraId="7FFFCC2D" w14:textId="0D63AAAB" w:rsidR="00676698" w:rsidRPr="009171DC" w:rsidRDefault="00B22E91" w:rsidP="003031E0">
      <w:pPr>
        <w:spacing w:before="120" w:after="0" w:line="360" w:lineRule="auto"/>
        <w:jc w:val="both"/>
        <w:rPr>
          <w:lang w:val="en-GB"/>
        </w:rPr>
      </w:pPr>
      <w:r>
        <w:rPr>
          <w:lang w:val="en-GB"/>
        </w:rPr>
        <w:t xml:space="preserve">To this extent, we </w:t>
      </w:r>
      <w:r w:rsidR="00A52859">
        <w:rPr>
          <w:lang w:val="en-GB"/>
        </w:rPr>
        <w:t>compared</w:t>
      </w:r>
      <w:r>
        <w:rPr>
          <w:lang w:val="en-GB"/>
        </w:rPr>
        <w:t xml:space="preserve"> the impact of restrictions on air quality during the first lockdown and the first phase of unlocking with respect to COVID-19 mortality in </w:t>
      </w:r>
      <w:r w:rsidR="00BB5115">
        <w:rPr>
          <w:lang w:val="en-GB"/>
        </w:rPr>
        <w:t>33</w:t>
      </w:r>
      <w:r w:rsidR="000D210A">
        <w:rPr>
          <w:lang w:val="en-GB"/>
        </w:rPr>
        <w:t xml:space="preserve"> </w:t>
      </w:r>
      <w:r w:rsidR="003D1EBA" w:rsidRPr="009171DC">
        <w:rPr>
          <w:lang w:val="en-GB"/>
        </w:rPr>
        <w:t>sovereign states</w:t>
      </w:r>
      <w:r w:rsidR="000761FF" w:rsidRPr="009171DC">
        <w:rPr>
          <w:lang w:val="en-GB"/>
        </w:rPr>
        <w:t xml:space="preserve"> of the European region</w:t>
      </w:r>
      <w:r w:rsidR="003031E0" w:rsidRPr="009171DC">
        <w:rPr>
          <w:lang w:val="en-GB"/>
        </w:rPr>
        <w:t xml:space="preserve">. </w:t>
      </w:r>
      <w:r w:rsidR="003D1EBA" w:rsidRPr="009171DC">
        <w:rPr>
          <w:lang w:val="en-GB"/>
        </w:rPr>
        <w:t xml:space="preserve">The analysis timespan for each country ranged from the date of the first </w:t>
      </w:r>
      <w:r w:rsidR="00027A31">
        <w:rPr>
          <w:lang w:val="en-GB"/>
        </w:rPr>
        <w:t xml:space="preserve">day of </w:t>
      </w:r>
      <w:r w:rsidR="00C15BEA">
        <w:rPr>
          <w:lang w:val="en-GB"/>
        </w:rPr>
        <w:t>lockdown</w:t>
      </w:r>
      <w:r w:rsidR="003D1EBA" w:rsidRPr="009171DC">
        <w:rPr>
          <w:lang w:val="en-GB"/>
        </w:rPr>
        <w:t xml:space="preserve"> until </w:t>
      </w:r>
      <w:r w:rsidR="0036248B" w:rsidRPr="009171DC">
        <w:rPr>
          <w:lang w:val="en-GB"/>
        </w:rPr>
        <w:t xml:space="preserve">July </w:t>
      </w:r>
      <w:r w:rsidR="003D1EBA" w:rsidRPr="009171DC">
        <w:rPr>
          <w:lang w:val="en-GB"/>
        </w:rPr>
        <w:t>20</w:t>
      </w:r>
      <w:r w:rsidR="003D1EBA" w:rsidRPr="009171DC">
        <w:rPr>
          <w:vertAlign w:val="superscript"/>
          <w:lang w:val="en-GB"/>
        </w:rPr>
        <w:t>th</w:t>
      </w:r>
      <w:r w:rsidR="0036248B">
        <w:rPr>
          <w:lang w:val="en-GB"/>
        </w:rPr>
        <w:t xml:space="preserve">, 2020 </w:t>
      </w:r>
      <w:r w:rsidR="003D1EBA" w:rsidRPr="009171DC">
        <w:rPr>
          <w:lang w:val="en-GB"/>
        </w:rPr>
        <w:t xml:space="preserve">(the cut-off date for the analysis). </w:t>
      </w:r>
      <w:r w:rsidR="006A43E8">
        <w:rPr>
          <w:lang w:val="en-GB"/>
        </w:rPr>
        <w:t xml:space="preserve">Daily </w:t>
      </w:r>
      <w:r w:rsidR="00FF3C7F" w:rsidRPr="009171DC">
        <w:rPr>
          <w:lang w:val="en-GB"/>
        </w:rPr>
        <w:t xml:space="preserve">COVID-19 mortality data </w:t>
      </w:r>
      <w:r w:rsidR="006A43E8">
        <w:rPr>
          <w:lang w:val="en-GB"/>
        </w:rPr>
        <w:t>(</w:t>
      </w:r>
      <w:r w:rsidR="009D3E3B">
        <w:rPr>
          <w:lang w:val="en-GB"/>
        </w:rPr>
        <w:t xml:space="preserve">deaths </w:t>
      </w:r>
      <w:r w:rsidR="00027A31">
        <w:rPr>
          <w:lang w:val="en-GB"/>
        </w:rPr>
        <w:t>per million people</w:t>
      </w:r>
      <w:r w:rsidR="006A43E8">
        <w:rPr>
          <w:lang w:val="en-GB"/>
        </w:rPr>
        <w:t>)</w:t>
      </w:r>
      <w:r w:rsidR="00027A31">
        <w:rPr>
          <w:lang w:val="en-GB"/>
        </w:rPr>
        <w:t xml:space="preserve"> </w:t>
      </w:r>
      <w:r w:rsidR="00FF3C7F" w:rsidRPr="009171DC">
        <w:rPr>
          <w:lang w:val="en-GB"/>
        </w:rPr>
        <w:t xml:space="preserve">were obtained from </w:t>
      </w:r>
      <w:r w:rsidR="0036248B">
        <w:rPr>
          <w:lang w:val="en-GB"/>
        </w:rPr>
        <w:t xml:space="preserve">the Johns Hopkins Coronavirus Resource </w:t>
      </w:r>
      <w:r w:rsidR="00775D5D">
        <w:rPr>
          <w:lang w:val="en-GB"/>
        </w:rPr>
        <w:t>Centre</w:t>
      </w:r>
      <w:r w:rsidR="001625C1">
        <w:rPr>
          <w:vertAlign w:val="superscript"/>
          <w:lang w:val="en-GB"/>
        </w:rPr>
        <w:t>9</w:t>
      </w:r>
      <w:r w:rsidR="00FF3C7F" w:rsidRPr="009171DC">
        <w:rPr>
          <w:lang w:val="en-GB"/>
        </w:rPr>
        <w:t>. Air temperature, humidity</w:t>
      </w:r>
      <w:r w:rsidR="00F170C8" w:rsidRPr="009171DC">
        <w:rPr>
          <w:lang w:val="en-GB"/>
        </w:rPr>
        <w:t>,</w:t>
      </w:r>
      <w:r w:rsidR="00FF3C7F" w:rsidRPr="009171DC">
        <w:rPr>
          <w:lang w:val="en-GB"/>
        </w:rPr>
        <w:t xml:space="preserve"> particulate matter of 10 µm of diameter (PM</w:t>
      </w:r>
      <w:r w:rsidR="00FF3C7F" w:rsidRPr="009171DC">
        <w:rPr>
          <w:vertAlign w:val="subscript"/>
          <w:lang w:val="en-GB"/>
        </w:rPr>
        <w:t>10</w:t>
      </w:r>
      <w:r w:rsidR="00FF3C7F" w:rsidRPr="009171DC">
        <w:rPr>
          <w:lang w:val="en-GB"/>
        </w:rPr>
        <w:t xml:space="preserve">) </w:t>
      </w:r>
      <w:r w:rsidR="00FF3C7F" w:rsidRPr="009171DC">
        <w:rPr>
          <w:lang w:val="en-GB"/>
        </w:rPr>
        <w:lastRenderedPageBreak/>
        <w:t>and NO</w:t>
      </w:r>
      <w:r w:rsidR="00FF3C7F" w:rsidRPr="009171DC">
        <w:rPr>
          <w:vertAlign w:val="subscript"/>
          <w:lang w:val="en-GB"/>
        </w:rPr>
        <w:t>2</w:t>
      </w:r>
      <w:r w:rsidR="003458EC" w:rsidRPr="009171DC">
        <w:rPr>
          <w:lang w:val="en-GB"/>
        </w:rPr>
        <w:t xml:space="preserve"> </w:t>
      </w:r>
      <w:r w:rsidR="00F170C8" w:rsidRPr="009171DC">
        <w:rPr>
          <w:lang w:val="en-GB"/>
        </w:rPr>
        <w:t xml:space="preserve">were assessed </w:t>
      </w:r>
      <w:r w:rsidR="00794491" w:rsidRPr="009171DC">
        <w:rPr>
          <w:lang w:val="en-GB"/>
        </w:rPr>
        <w:t xml:space="preserve">through the CHIMERE </w:t>
      </w:r>
      <w:r w:rsidR="00A252B7" w:rsidRPr="009171DC">
        <w:rPr>
          <w:lang w:val="en-GB"/>
        </w:rPr>
        <w:t xml:space="preserve">chemistry transport </w:t>
      </w:r>
      <w:r w:rsidR="00794491" w:rsidRPr="009171DC">
        <w:rPr>
          <w:lang w:val="en-GB"/>
        </w:rPr>
        <w:t>model</w:t>
      </w:r>
      <w:r w:rsidR="000958B1">
        <w:rPr>
          <w:lang w:val="en-GB"/>
        </w:rPr>
        <w:t xml:space="preserve"> provided by INERI</w:t>
      </w:r>
      <w:r w:rsidR="00027A31">
        <w:rPr>
          <w:lang w:val="en-GB"/>
        </w:rPr>
        <w:t>S</w:t>
      </w:r>
      <w:r w:rsidR="001625C1">
        <w:rPr>
          <w:vertAlign w:val="superscript"/>
          <w:lang w:val="en-GB"/>
        </w:rPr>
        <w:t>10</w:t>
      </w:r>
      <w:r w:rsidR="00455785">
        <w:rPr>
          <w:lang w:val="en-GB"/>
        </w:rPr>
        <w:t xml:space="preserve"> at various resolution</w:t>
      </w:r>
      <w:r w:rsidR="00C17155">
        <w:rPr>
          <w:lang w:val="en-GB"/>
        </w:rPr>
        <w:t>s</w:t>
      </w:r>
      <w:r w:rsidR="00775D5D">
        <w:rPr>
          <w:lang w:val="en-GB"/>
        </w:rPr>
        <w:t xml:space="preserve">, </w:t>
      </w:r>
      <w:r w:rsidR="00C17155">
        <w:rPr>
          <w:lang w:val="en-GB"/>
        </w:rPr>
        <w:t xml:space="preserve">with a broader coverage </w:t>
      </w:r>
      <w:r w:rsidR="00775D5D">
        <w:rPr>
          <w:lang w:val="en-GB"/>
        </w:rPr>
        <w:t xml:space="preserve">than the monitoring station </w:t>
      </w:r>
      <w:r w:rsidR="00832370">
        <w:rPr>
          <w:lang w:val="en-GB"/>
        </w:rPr>
        <w:t>assessments</w:t>
      </w:r>
      <w:r w:rsidR="00FF3C7F" w:rsidRPr="009171DC">
        <w:rPr>
          <w:lang w:val="en-GB"/>
        </w:rPr>
        <w:t xml:space="preserve">. </w:t>
      </w:r>
      <w:r w:rsidR="005B434E" w:rsidRPr="009171DC">
        <w:rPr>
          <w:lang w:val="en-GB"/>
        </w:rPr>
        <w:t>L</w:t>
      </w:r>
      <w:r w:rsidR="003458EC" w:rsidRPr="009171DC">
        <w:rPr>
          <w:lang w:val="en-GB"/>
        </w:rPr>
        <w:t>ockdown periods were found in the websites of the Health Authoriti</w:t>
      </w:r>
      <w:r w:rsidR="00F170C8" w:rsidRPr="009171DC">
        <w:rPr>
          <w:lang w:val="en-GB"/>
        </w:rPr>
        <w:t>es in the considered countries.</w:t>
      </w:r>
    </w:p>
    <w:p w14:paraId="63790DD6" w14:textId="791162D2" w:rsidR="003031E0" w:rsidRPr="009171DC" w:rsidRDefault="004C4945" w:rsidP="000761FF">
      <w:pPr>
        <w:pStyle w:val="Titre2"/>
        <w:shd w:val="clear" w:color="auto" w:fill="FFFFFF"/>
        <w:spacing w:before="120" w:beforeAutospacing="0" w:after="0" w:afterAutospacing="0" w:line="360" w:lineRule="auto"/>
        <w:jc w:val="both"/>
        <w:rPr>
          <w:rFonts w:ascii="Arial" w:eastAsiaTheme="minorHAnsi" w:hAnsi="Arial" w:cs="Arial"/>
          <w:b w:val="0"/>
          <w:bCs w:val="0"/>
          <w:sz w:val="22"/>
          <w:szCs w:val="22"/>
          <w:lang w:val="en-GB"/>
        </w:rPr>
      </w:pPr>
      <w:r w:rsidRPr="009171DC">
        <w:rPr>
          <w:rFonts w:ascii="Arial" w:eastAsiaTheme="minorHAnsi" w:hAnsi="Arial" w:cs="Arial"/>
          <w:b w:val="0"/>
          <w:bCs w:val="0"/>
          <w:sz w:val="22"/>
          <w:szCs w:val="22"/>
          <w:lang w:val="en-GB"/>
        </w:rPr>
        <w:t xml:space="preserve">The relationship between each </w:t>
      </w:r>
      <w:r w:rsidR="00F33105" w:rsidRPr="009171DC">
        <w:rPr>
          <w:rFonts w:ascii="Arial" w:eastAsiaTheme="minorHAnsi" w:hAnsi="Arial" w:cs="Arial"/>
          <w:b w:val="0"/>
          <w:bCs w:val="0"/>
          <w:sz w:val="22"/>
          <w:szCs w:val="22"/>
          <w:lang w:val="en-GB"/>
        </w:rPr>
        <w:t xml:space="preserve">air </w:t>
      </w:r>
      <w:r w:rsidRPr="009171DC">
        <w:rPr>
          <w:rFonts w:ascii="Arial" w:eastAsiaTheme="minorHAnsi" w:hAnsi="Arial" w:cs="Arial"/>
          <w:b w:val="0"/>
          <w:bCs w:val="0"/>
          <w:sz w:val="22"/>
          <w:szCs w:val="22"/>
          <w:lang w:val="en-GB"/>
        </w:rPr>
        <w:t xml:space="preserve">pollutant and mortality rates per million </w:t>
      </w:r>
      <w:r w:rsidR="00C17155">
        <w:rPr>
          <w:rFonts w:ascii="Arial" w:eastAsiaTheme="minorHAnsi" w:hAnsi="Arial" w:cs="Arial"/>
          <w:b w:val="0"/>
          <w:bCs w:val="0"/>
          <w:sz w:val="22"/>
          <w:szCs w:val="22"/>
          <w:lang w:val="en-GB"/>
        </w:rPr>
        <w:t xml:space="preserve">inhabitants </w:t>
      </w:r>
      <w:r w:rsidR="006A43E8">
        <w:rPr>
          <w:rFonts w:ascii="Arial" w:eastAsiaTheme="minorHAnsi" w:hAnsi="Arial" w:cs="Arial"/>
          <w:b w:val="0"/>
          <w:bCs w:val="0"/>
          <w:sz w:val="22"/>
          <w:szCs w:val="22"/>
          <w:lang w:val="en-GB"/>
        </w:rPr>
        <w:t xml:space="preserve">on a daily basis </w:t>
      </w:r>
      <w:r w:rsidRPr="009171DC">
        <w:rPr>
          <w:rFonts w:ascii="Arial" w:eastAsiaTheme="minorHAnsi" w:hAnsi="Arial" w:cs="Arial"/>
          <w:b w:val="0"/>
          <w:bCs w:val="0"/>
          <w:sz w:val="22"/>
          <w:szCs w:val="22"/>
          <w:lang w:val="en-GB"/>
        </w:rPr>
        <w:t>was analysed by a Generalized Additive Model (GAM) using</w:t>
      </w:r>
      <w:r w:rsidR="00A252B7">
        <w:rPr>
          <w:rFonts w:ascii="Arial" w:eastAsiaTheme="minorHAnsi" w:hAnsi="Arial" w:cs="Arial"/>
          <w:b w:val="0"/>
          <w:bCs w:val="0"/>
          <w:sz w:val="22"/>
          <w:szCs w:val="22"/>
          <w:lang w:val="en-GB"/>
        </w:rPr>
        <w:t xml:space="preserve"> a</w:t>
      </w:r>
      <w:r w:rsidRPr="009171DC">
        <w:rPr>
          <w:rFonts w:ascii="Arial" w:eastAsiaTheme="minorHAnsi" w:hAnsi="Arial" w:cs="Arial"/>
          <w:b w:val="0"/>
          <w:bCs w:val="0"/>
          <w:sz w:val="22"/>
          <w:szCs w:val="22"/>
          <w:lang w:val="en-GB"/>
        </w:rPr>
        <w:t xml:space="preserve"> Distributed Nonlinear Lag Model (DNLM) framework, </w:t>
      </w:r>
      <w:r w:rsidR="00A252B7">
        <w:rPr>
          <w:rFonts w:ascii="Arial" w:eastAsiaTheme="minorHAnsi" w:hAnsi="Arial" w:cs="Arial"/>
          <w:b w:val="0"/>
          <w:bCs w:val="0"/>
          <w:sz w:val="22"/>
          <w:szCs w:val="22"/>
          <w:lang w:val="en-GB"/>
        </w:rPr>
        <w:t>which</w:t>
      </w:r>
      <w:r w:rsidR="00A252B7" w:rsidRPr="009171DC">
        <w:rPr>
          <w:rFonts w:ascii="Arial" w:eastAsiaTheme="minorHAnsi" w:hAnsi="Arial" w:cs="Arial"/>
          <w:b w:val="0"/>
          <w:bCs w:val="0"/>
          <w:sz w:val="22"/>
          <w:szCs w:val="22"/>
          <w:lang w:val="en-GB"/>
        </w:rPr>
        <w:t xml:space="preserve"> </w:t>
      </w:r>
      <w:r w:rsidRPr="009171DC">
        <w:rPr>
          <w:rFonts w:ascii="Arial" w:eastAsiaTheme="minorHAnsi" w:hAnsi="Arial" w:cs="Arial"/>
          <w:b w:val="0"/>
          <w:bCs w:val="0"/>
          <w:sz w:val="22"/>
          <w:szCs w:val="22"/>
          <w:lang w:val="en-GB"/>
        </w:rPr>
        <w:t>assumes a quasi-Poisson distr</w:t>
      </w:r>
      <w:r w:rsidR="002C04C5" w:rsidRPr="009171DC">
        <w:rPr>
          <w:rFonts w:ascii="Arial" w:eastAsiaTheme="minorHAnsi" w:hAnsi="Arial" w:cs="Arial"/>
          <w:b w:val="0"/>
          <w:bCs w:val="0"/>
          <w:sz w:val="22"/>
          <w:szCs w:val="22"/>
          <w:lang w:val="en-GB"/>
        </w:rPr>
        <w:t>ibution of the mortality rates.</w:t>
      </w:r>
      <w:r w:rsidRPr="009171DC">
        <w:rPr>
          <w:rFonts w:ascii="Arial" w:eastAsiaTheme="minorHAnsi" w:hAnsi="Arial" w:cs="Arial"/>
          <w:b w:val="0"/>
          <w:bCs w:val="0"/>
          <w:sz w:val="22"/>
          <w:szCs w:val="22"/>
          <w:lang w:val="en-GB"/>
        </w:rPr>
        <w:t xml:space="preserve"> The covariates adjusted for </w:t>
      </w:r>
      <w:r w:rsidR="00A252B7">
        <w:rPr>
          <w:rFonts w:ascii="Arial" w:eastAsiaTheme="minorHAnsi" w:hAnsi="Arial" w:cs="Arial"/>
          <w:b w:val="0"/>
          <w:bCs w:val="0"/>
          <w:sz w:val="22"/>
          <w:szCs w:val="22"/>
          <w:lang w:val="en-GB"/>
        </w:rPr>
        <w:t>were</w:t>
      </w:r>
      <w:r w:rsidR="00A252B7" w:rsidRPr="009171DC">
        <w:rPr>
          <w:rFonts w:ascii="Arial" w:eastAsiaTheme="minorHAnsi" w:hAnsi="Arial" w:cs="Arial"/>
          <w:b w:val="0"/>
          <w:bCs w:val="0"/>
          <w:sz w:val="22"/>
          <w:szCs w:val="22"/>
          <w:lang w:val="en-GB"/>
        </w:rPr>
        <w:t xml:space="preserve"> </w:t>
      </w:r>
      <w:r w:rsidRPr="009171DC">
        <w:rPr>
          <w:rFonts w:ascii="Arial" w:eastAsiaTheme="minorHAnsi" w:hAnsi="Arial" w:cs="Arial"/>
          <w:b w:val="0"/>
          <w:bCs w:val="0"/>
          <w:sz w:val="22"/>
          <w:szCs w:val="22"/>
          <w:lang w:val="en-GB"/>
        </w:rPr>
        <w:t xml:space="preserve">daily average temperature and daily average relative humidity; a 3-day moving average was applied to each of these meteorological variables, with natural (cubic) smoothing splines of 6 and 3 degrees of freedom </w:t>
      </w:r>
      <w:r w:rsidR="00B62676" w:rsidRPr="009171DC">
        <w:rPr>
          <w:rFonts w:ascii="Arial" w:eastAsiaTheme="minorHAnsi" w:hAnsi="Arial" w:cs="Arial"/>
          <w:b w:val="0"/>
          <w:bCs w:val="0"/>
          <w:sz w:val="22"/>
          <w:szCs w:val="22"/>
          <w:lang w:val="en-GB"/>
        </w:rPr>
        <w:t>in the GAM.</w:t>
      </w:r>
      <w:r w:rsidR="002C04C5" w:rsidRPr="009171DC">
        <w:rPr>
          <w:rFonts w:ascii="Arial" w:eastAsiaTheme="minorHAnsi" w:hAnsi="Arial" w:cs="Arial"/>
          <w:b w:val="0"/>
          <w:bCs w:val="0"/>
          <w:sz w:val="22"/>
          <w:szCs w:val="22"/>
          <w:lang w:val="en-GB"/>
        </w:rPr>
        <w:t xml:space="preserve"> The associations were expressed as </w:t>
      </w:r>
      <w:r w:rsidR="003D1EBA" w:rsidRPr="009171DC">
        <w:rPr>
          <w:rFonts w:ascii="Arial" w:eastAsiaTheme="minorHAnsi" w:hAnsi="Arial" w:cs="Arial"/>
          <w:b w:val="0"/>
          <w:bCs w:val="0"/>
          <w:sz w:val="22"/>
          <w:szCs w:val="22"/>
          <w:lang w:val="en-GB"/>
        </w:rPr>
        <w:t xml:space="preserve">Risk </w:t>
      </w:r>
      <w:r w:rsidR="0062548E">
        <w:rPr>
          <w:rFonts w:ascii="Arial" w:eastAsiaTheme="minorHAnsi" w:hAnsi="Arial" w:cs="Arial"/>
          <w:b w:val="0"/>
          <w:bCs w:val="0"/>
          <w:sz w:val="22"/>
          <w:szCs w:val="22"/>
          <w:lang w:val="en-GB"/>
        </w:rPr>
        <w:t>R</w:t>
      </w:r>
      <w:r w:rsidR="003D1EBA" w:rsidRPr="009171DC">
        <w:rPr>
          <w:rFonts w:ascii="Arial" w:eastAsiaTheme="minorHAnsi" w:hAnsi="Arial" w:cs="Arial"/>
          <w:b w:val="0"/>
          <w:bCs w:val="0"/>
          <w:sz w:val="22"/>
          <w:szCs w:val="22"/>
          <w:lang w:val="en-GB"/>
        </w:rPr>
        <w:t>atios (</w:t>
      </w:r>
      <w:r w:rsidR="002C04C5" w:rsidRPr="009171DC">
        <w:rPr>
          <w:rFonts w:ascii="Arial" w:eastAsiaTheme="minorHAnsi" w:hAnsi="Arial" w:cs="Arial"/>
          <w:b w:val="0"/>
          <w:bCs w:val="0"/>
          <w:sz w:val="22"/>
          <w:szCs w:val="22"/>
          <w:lang w:val="en-GB"/>
        </w:rPr>
        <w:t>RR</w:t>
      </w:r>
      <w:r w:rsidR="003D1EBA" w:rsidRPr="009171DC">
        <w:rPr>
          <w:rFonts w:ascii="Arial" w:eastAsiaTheme="minorHAnsi" w:hAnsi="Arial" w:cs="Arial"/>
          <w:b w:val="0"/>
          <w:bCs w:val="0"/>
          <w:sz w:val="22"/>
          <w:szCs w:val="22"/>
          <w:lang w:val="en-GB"/>
        </w:rPr>
        <w:t>)</w:t>
      </w:r>
      <w:r w:rsidR="002C04C5" w:rsidRPr="009171DC">
        <w:rPr>
          <w:rFonts w:ascii="Arial" w:eastAsiaTheme="minorHAnsi" w:hAnsi="Arial" w:cs="Arial"/>
          <w:b w:val="0"/>
          <w:bCs w:val="0"/>
          <w:sz w:val="22"/>
          <w:szCs w:val="22"/>
          <w:lang w:val="en-GB"/>
        </w:rPr>
        <w:t xml:space="preserve"> with 95% </w:t>
      </w:r>
      <w:r w:rsidR="0062548E">
        <w:rPr>
          <w:rFonts w:ascii="Arial" w:eastAsiaTheme="minorHAnsi" w:hAnsi="Arial" w:cs="Arial"/>
          <w:b w:val="0"/>
          <w:bCs w:val="0"/>
          <w:sz w:val="22"/>
          <w:szCs w:val="22"/>
          <w:lang w:val="en-GB"/>
        </w:rPr>
        <w:t>c</w:t>
      </w:r>
      <w:r w:rsidR="002C04C5" w:rsidRPr="009171DC">
        <w:rPr>
          <w:rFonts w:ascii="Arial" w:eastAsiaTheme="minorHAnsi" w:hAnsi="Arial" w:cs="Arial"/>
          <w:b w:val="0"/>
          <w:bCs w:val="0"/>
          <w:sz w:val="22"/>
          <w:szCs w:val="22"/>
          <w:lang w:val="en-GB"/>
        </w:rPr>
        <w:t>onfidence</w:t>
      </w:r>
      <w:r w:rsidR="003D1EBA" w:rsidRPr="009171DC">
        <w:rPr>
          <w:rFonts w:ascii="Arial" w:eastAsiaTheme="minorHAnsi" w:hAnsi="Arial" w:cs="Arial"/>
          <w:b w:val="0"/>
          <w:bCs w:val="0"/>
          <w:sz w:val="22"/>
          <w:szCs w:val="22"/>
          <w:lang w:val="en-GB"/>
        </w:rPr>
        <w:t xml:space="preserve"> </w:t>
      </w:r>
      <w:r w:rsidR="0062548E">
        <w:rPr>
          <w:rFonts w:ascii="Arial" w:eastAsiaTheme="minorHAnsi" w:hAnsi="Arial" w:cs="Arial"/>
          <w:b w:val="0"/>
          <w:bCs w:val="0"/>
          <w:sz w:val="22"/>
          <w:szCs w:val="22"/>
          <w:lang w:val="en-GB"/>
        </w:rPr>
        <w:t>i</w:t>
      </w:r>
      <w:r w:rsidR="003D1EBA" w:rsidRPr="009171DC">
        <w:rPr>
          <w:rFonts w:ascii="Arial" w:eastAsiaTheme="minorHAnsi" w:hAnsi="Arial" w:cs="Arial"/>
          <w:b w:val="0"/>
          <w:bCs w:val="0"/>
          <w:sz w:val="22"/>
          <w:szCs w:val="22"/>
          <w:lang w:val="en-GB"/>
        </w:rPr>
        <w:t>ntervals</w:t>
      </w:r>
      <w:r w:rsidR="002C04C5" w:rsidRPr="009171DC">
        <w:rPr>
          <w:rFonts w:ascii="Arial" w:eastAsiaTheme="minorHAnsi" w:hAnsi="Arial" w:cs="Arial"/>
          <w:b w:val="0"/>
          <w:bCs w:val="0"/>
          <w:sz w:val="22"/>
          <w:szCs w:val="22"/>
          <w:lang w:val="en-GB"/>
        </w:rPr>
        <w:t>.</w:t>
      </w:r>
      <w:r w:rsidR="009049E5" w:rsidRPr="009171DC">
        <w:rPr>
          <w:rFonts w:ascii="Arial" w:eastAsiaTheme="minorHAnsi" w:hAnsi="Arial" w:cs="Arial"/>
          <w:b w:val="0"/>
          <w:bCs w:val="0"/>
          <w:sz w:val="22"/>
          <w:szCs w:val="22"/>
          <w:lang w:val="en-GB"/>
        </w:rPr>
        <w:t xml:space="preserve"> On</w:t>
      </w:r>
      <w:r w:rsidR="00E00073" w:rsidRPr="009171DC">
        <w:rPr>
          <w:rFonts w:ascii="Arial" w:eastAsiaTheme="minorHAnsi" w:hAnsi="Arial" w:cs="Arial"/>
          <w:b w:val="0"/>
          <w:bCs w:val="0"/>
          <w:sz w:val="22"/>
          <w:szCs w:val="22"/>
          <w:lang w:val="en-GB"/>
        </w:rPr>
        <w:t>ly the maximum RR</w:t>
      </w:r>
      <w:r w:rsidR="00A52859">
        <w:rPr>
          <w:rFonts w:ascii="Arial" w:eastAsiaTheme="minorHAnsi" w:hAnsi="Arial" w:cs="Arial"/>
          <w:b w:val="0"/>
          <w:bCs w:val="0"/>
          <w:sz w:val="22"/>
          <w:szCs w:val="22"/>
          <w:lang w:val="en-GB"/>
        </w:rPr>
        <w:t>s</w:t>
      </w:r>
      <w:r w:rsidR="00E00073" w:rsidRPr="009171DC">
        <w:rPr>
          <w:rFonts w:ascii="Arial" w:eastAsiaTheme="minorHAnsi" w:hAnsi="Arial" w:cs="Arial"/>
          <w:b w:val="0"/>
          <w:bCs w:val="0"/>
          <w:sz w:val="22"/>
          <w:szCs w:val="22"/>
          <w:lang w:val="en-GB"/>
        </w:rPr>
        <w:t xml:space="preserve"> were retained</w:t>
      </w:r>
      <w:r w:rsidR="009049E5" w:rsidRPr="009171DC">
        <w:rPr>
          <w:rFonts w:ascii="Arial" w:eastAsiaTheme="minorHAnsi" w:hAnsi="Arial" w:cs="Arial"/>
          <w:b w:val="0"/>
          <w:bCs w:val="0"/>
          <w:sz w:val="22"/>
          <w:szCs w:val="22"/>
          <w:lang w:val="en-GB"/>
        </w:rPr>
        <w:t>.</w:t>
      </w:r>
    </w:p>
    <w:p w14:paraId="5DB30594" w14:textId="08DC27D8" w:rsidR="00C41480" w:rsidRDefault="00832370" w:rsidP="00987749">
      <w:pPr>
        <w:pStyle w:val="Titre2"/>
        <w:shd w:val="clear" w:color="auto" w:fill="FFFFFF"/>
        <w:spacing w:before="120" w:beforeAutospacing="0" w:after="0" w:afterAutospacing="0" w:line="360" w:lineRule="auto"/>
        <w:jc w:val="both"/>
        <w:rPr>
          <w:rFonts w:ascii="Arial" w:eastAsiaTheme="minorHAnsi" w:hAnsi="Arial" w:cs="Arial"/>
          <w:b w:val="0"/>
          <w:bCs w:val="0"/>
          <w:sz w:val="22"/>
          <w:szCs w:val="22"/>
          <w:lang w:val="en-GB"/>
        </w:rPr>
      </w:pPr>
      <w:r>
        <w:rPr>
          <w:rFonts w:ascii="Arial" w:eastAsiaTheme="minorHAnsi" w:hAnsi="Arial" w:cs="Arial"/>
          <w:b w:val="0"/>
          <w:bCs w:val="0"/>
          <w:sz w:val="22"/>
          <w:szCs w:val="22"/>
          <w:lang w:val="en-GB"/>
        </w:rPr>
        <w:t>A</w:t>
      </w:r>
      <w:r w:rsidR="00A52859" w:rsidRPr="00187357">
        <w:rPr>
          <w:rFonts w:ascii="Arial" w:eastAsiaTheme="minorHAnsi" w:hAnsi="Arial" w:cs="Arial"/>
          <w:b w:val="0"/>
          <w:bCs w:val="0"/>
          <w:sz w:val="22"/>
          <w:szCs w:val="22"/>
          <w:lang w:val="en-GB"/>
        </w:rPr>
        <w:t>veraged</w:t>
      </w:r>
      <w:r w:rsidR="00187357" w:rsidRPr="00187357">
        <w:rPr>
          <w:rFonts w:ascii="Arial" w:eastAsiaTheme="minorHAnsi" w:hAnsi="Arial" w:cs="Arial"/>
          <w:b w:val="0"/>
          <w:bCs w:val="0"/>
          <w:sz w:val="22"/>
          <w:szCs w:val="22"/>
          <w:lang w:val="en-GB"/>
        </w:rPr>
        <w:t xml:space="preserve"> levels </w:t>
      </w:r>
      <w:r>
        <w:rPr>
          <w:rFonts w:ascii="Arial" w:eastAsiaTheme="minorHAnsi" w:hAnsi="Arial" w:cs="Arial"/>
          <w:b w:val="0"/>
          <w:bCs w:val="0"/>
          <w:sz w:val="22"/>
          <w:szCs w:val="22"/>
          <w:lang w:val="en-GB"/>
        </w:rPr>
        <w:t xml:space="preserve">as obtained through the dispersion model </w:t>
      </w:r>
      <w:r w:rsidR="00187357" w:rsidRPr="00187357">
        <w:rPr>
          <w:rFonts w:ascii="Arial" w:eastAsiaTheme="minorHAnsi" w:hAnsi="Arial" w:cs="Arial"/>
          <w:b w:val="0"/>
          <w:bCs w:val="0"/>
          <w:sz w:val="22"/>
          <w:szCs w:val="22"/>
          <w:lang w:val="en-GB"/>
        </w:rPr>
        <w:t>were lower during the lockdown</w:t>
      </w:r>
      <w:r w:rsidR="00187357">
        <w:rPr>
          <w:rFonts w:ascii="Arial" w:eastAsiaTheme="minorHAnsi" w:hAnsi="Arial" w:cs="Arial"/>
          <w:b w:val="0"/>
          <w:bCs w:val="0"/>
          <w:sz w:val="22"/>
          <w:szCs w:val="22"/>
          <w:lang w:val="en-GB"/>
        </w:rPr>
        <w:t xml:space="preserve"> than during the unlocking</w:t>
      </w:r>
      <w:r w:rsidR="00187357" w:rsidRPr="00187357">
        <w:rPr>
          <w:rFonts w:ascii="Arial" w:eastAsiaTheme="minorHAnsi" w:hAnsi="Arial" w:cs="Arial"/>
          <w:b w:val="0"/>
          <w:bCs w:val="0"/>
          <w:sz w:val="22"/>
          <w:szCs w:val="22"/>
          <w:lang w:val="en-GB"/>
        </w:rPr>
        <w:t xml:space="preserve"> only in </w:t>
      </w:r>
      <w:r w:rsidR="00C41480">
        <w:rPr>
          <w:rFonts w:ascii="Arial" w:eastAsiaTheme="minorHAnsi" w:hAnsi="Arial" w:cs="Arial"/>
          <w:b w:val="0"/>
          <w:bCs w:val="0"/>
          <w:sz w:val="22"/>
          <w:szCs w:val="22"/>
          <w:lang w:val="en-GB"/>
        </w:rPr>
        <w:t>8</w:t>
      </w:r>
      <w:r w:rsidR="00187357">
        <w:rPr>
          <w:rFonts w:ascii="Arial" w:eastAsiaTheme="minorHAnsi" w:hAnsi="Arial" w:cs="Arial"/>
          <w:b w:val="0"/>
          <w:bCs w:val="0"/>
          <w:sz w:val="22"/>
          <w:szCs w:val="22"/>
          <w:lang w:val="en-GB"/>
        </w:rPr>
        <w:t xml:space="preserve"> (Algeria, Armenia, Greece, Israel, Lebanon, </w:t>
      </w:r>
      <w:r w:rsidR="001625C1">
        <w:rPr>
          <w:rFonts w:ascii="Arial" w:eastAsiaTheme="minorHAnsi" w:hAnsi="Arial" w:cs="Arial"/>
          <w:b w:val="0"/>
          <w:bCs w:val="0"/>
          <w:sz w:val="22"/>
          <w:szCs w:val="22"/>
          <w:lang w:val="en-GB"/>
        </w:rPr>
        <w:t xml:space="preserve">Lithuania, </w:t>
      </w:r>
      <w:r w:rsidR="00187357">
        <w:rPr>
          <w:rFonts w:ascii="Arial" w:eastAsiaTheme="minorHAnsi" w:hAnsi="Arial" w:cs="Arial"/>
          <w:b w:val="0"/>
          <w:bCs w:val="0"/>
          <w:sz w:val="22"/>
          <w:szCs w:val="22"/>
          <w:lang w:val="en-GB"/>
        </w:rPr>
        <w:t>Morocco, Tunisia)</w:t>
      </w:r>
      <w:r w:rsidR="00187357" w:rsidRPr="00187357">
        <w:rPr>
          <w:rFonts w:ascii="Arial" w:eastAsiaTheme="minorHAnsi" w:hAnsi="Arial" w:cs="Arial"/>
          <w:b w:val="0"/>
          <w:bCs w:val="0"/>
          <w:sz w:val="22"/>
          <w:szCs w:val="22"/>
          <w:lang w:val="en-GB"/>
        </w:rPr>
        <w:t xml:space="preserve"> </w:t>
      </w:r>
      <w:r w:rsidR="004936D0">
        <w:rPr>
          <w:rFonts w:ascii="Arial" w:eastAsiaTheme="minorHAnsi" w:hAnsi="Arial" w:cs="Arial"/>
          <w:b w:val="0"/>
          <w:bCs w:val="0"/>
          <w:sz w:val="22"/>
          <w:szCs w:val="22"/>
          <w:lang w:val="en-GB"/>
        </w:rPr>
        <w:t xml:space="preserve">for </w:t>
      </w:r>
      <w:r w:rsidR="004936D0" w:rsidRPr="00187357">
        <w:rPr>
          <w:rFonts w:ascii="Arial" w:eastAsiaTheme="minorHAnsi" w:hAnsi="Arial" w:cs="Arial"/>
          <w:b w:val="0"/>
          <w:bCs w:val="0"/>
          <w:sz w:val="22"/>
          <w:szCs w:val="22"/>
          <w:lang w:val="en-GB"/>
        </w:rPr>
        <w:t>NO</w:t>
      </w:r>
      <w:r w:rsidR="004936D0" w:rsidRPr="00187357">
        <w:rPr>
          <w:rFonts w:ascii="Arial" w:eastAsiaTheme="minorHAnsi" w:hAnsi="Arial" w:cs="Arial"/>
          <w:b w:val="0"/>
          <w:bCs w:val="0"/>
          <w:sz w:val="22"/>
          <w:szCs w:val="22"/>
          <w:vertAlign w:val="subscript"/>
          <w:lang w:val="en-GB"/>
        </w:rPr>
        <w:t>2</w:t>
      </w:r>
      <w:r w:rsidR="004936D0" w:rsidRPr="00187357">
        <w:rPr>
          <w:rFonts w:ascii="Arial" w:eastAsiaTheme="minorHAnsi" w:hAnsi="Arial" w:cs="Arial"/>
          <w:b w:val="0"/>
          <w:bCs w:val="0"/>
          <w:sz w:val="22"/>
          <w:szCs w:val="22"/>
          <w:lang w:val="en-GB"/>
        </w:rPr>
        <w:t xml:space="preserve"> </w:t>
      </w:r>
      <w:r w:rsidR="00187357" w:rsidRPr="00187357">
        <w:rPr>
          <w:rFonts w:ascii="Arial" w:hAnsi="Arial" w:cs="Arial"/>
          <w:b w:val="0"/>
          <w:sz w:val="22"/>
          <w:szCs w:val="22"/>
          <w:lang w:val="en-GB"/>
        </w:rPr>
        <w:t>and</w:t>
      </w:r>
      <w:r w:rsidR="00187357" w:rsidRPr="00187357">
        <w:rPr>
          <w:rFonts w:ascii="Arial" w:eastAsiaTheme="minorHAnsi" w:hAnsi="Arial" w:cs="Arial"/>
          <w:b w:val="0"/>
          <w:bCs w:val="0"/>
          <w:sz w:val="22"/>
          <w:szCs w:val="22"/>
          <w:lang w:val="en-GB"/>
        </w:rPr>
        <w:t xml:space="preserve"> </w:t>
      </w:r>
      <w:r>
        <w:rPr>
          <w:rFonts w:ascii="Arial" w:eastAsiaTheme="minorHAnsi" w:hAnsi="Arial" w:cs="Arial"/>
          <w:b w:val="0"/>
          <w:bCs w:val="0"/>
          <w:sz w:val="22"/>
          <w:szCs w:val="22"/>
          <w:lang w:val="en-GB"/>
        </w:rPr>
        <w:t xml:space="preserve">in </w:t>
      </w:r>
      <w:r w:rsidR="00C41480">
        <w:rPr>
          <w:rFonts w:ascii="Arial" w:eastAsiaTheme="minorHAnsi" w:hAnsi="Arial" w:cs="Arial"/>
          <w:b w:val="0"/>
          <w:bCs w:val="0"/>
          <w:sz w:val="22"/>
          <w:szCs w:val="22"/>
          <w:lang w:val="en-GB"/>
        </w:rPr>
        <w:t>7</w:t>
      </w:r>
      <w:r w:rsidR="00187357" w:rsidRPr="00187357">
        <w:rPr>
          <w:rFonts w:ascii="Arial" w:eastAsiaTheme="minorHAnsi" w:hAnsi="Arial" w:cs="Arial"/>
          <w:b w:val="0"/>
          <w:bCs w:val="0"/>
          <w:sz w:val="22"/>
          <w:szCs w:val="22"/>
          <w:lang w:val="en-GB"/>
        </w:rPr>
        <w:t xml:space="preserve"> countries</w:t>
      </w:r>
      <w:r w:rsidR="00187357" w:rsidRPr="00187357">
        <w:rPr>
          <w:rFonts w:ascii="Arial" w:hAnsi="Arial" w:cs="Arial"/>
          <w:b w:val="0"/>
          <w:sz w:val="22"/>
          <w:szCs w:val="22"/>
          <w:lang w:val="en-GB"/>
        </w:rPr>
        <w:t xml:space="preserve"> </w:t>
      </w:r>
      <w:r w:rsidR="00187357">
        <w:rPr>
          <w:rFonts w:ascii="Arial" w:hAnsi="Arial" w:cs="Arial"/>
          <w:b w:val="0"/>
          <w:sz w:val="22"/>
          <w:szCs w:val="22"/>
          <w:lang w:val="en-GB"/>
        </w:rPr>
        <w:t>(</w:t>
      </w:r>
      <w:r w:rsidR="00C41480">
        <w:rPr>
          <w:rFonts w:ascii="Arial" w:hAnsi="Arial" w:cs="Arial"/>
          <w:b w:val="0"/>
          <w:sz w:val="22"/>
          <w:szCs w:val="22"/>
          <w:lang w:val="en-GB"/>
        </w:rPr>
        <w:t>Bulgaria, Israel, Lebanon, Lithuania, Morocco, Spain, Turkey</w:t>
      </w:r>
      <w:r w:rsidR="00187357">
        <w:rPr>
          <w:rFonts w:ascii="Arial" w:hAnsi="Arial" w:cs="Arial"/>
          <w:b w:val="0"/>
          <w:sz w:val="22"/>
          <w:szCs w:val="22"/>
          <w:lang w:val="en-GB"/>
        </w:rPr>
        <w:t xml:space="preserve">) </w:t>
      </w:r>
      <w:r w:rsidR="004936D0">
        <w:rPr>
          <w:rFonts w:ascii="Arial" w:hAnsi="Arial" w:cs="Arial"/>
          <w:b w:val="0"/>
          <w:sz w:val="22"/>
          <w:szCs w:val="22"/>
          <w:lang w:val="en-GB"/>
        </w:rPr>
        <w:t xml:space="preserve">for </w:t>
      </w:r>
      <w:r w:rsidR="004936D0" w:rsidRPr="00187357">
        <w:rPr>
          <w:rFonts w:ascii="Arial" w:eastAsiaTheme="minorHAnsi" w:hAnsi="Arial" w:cs="Arial"/>
          <w:b w:val="0"/>
          <w:bCs w:val="0"/>
          <w:sz w:val="22"/>
          <w:szCs w:val="22"/>
          <w:lang w:val="en-GB"/>
        </w:rPr>
        <w:t>and PM</w:t>
      </w:r>
      <w:r w:rsidR="004936D0" w:rsidRPr="00187357">
        <w:rPr>
          <w:rFonts w:ascii="Arial" w:eastAsiaTheme="minorHAnsi" w:hAnsi="Arial" w:cs="Arial"/>
          <w:b w:val="0"/>
          <w:bCs w:val="0"/>
          <w:sz w:val="22"/>
          <w:szCs w:val="22"/>
          <w:vertAlign w:val="subscript"/>
          <w:lang w:val="en-GB"/>
        </w:rPr>
        <w:t>10</w:t>
      </w:r>
      <w:r w:rsidR="004936D0" w:rsidRPr="00187357">
        <w:rPr>
          <w:rFonts w:ascii="Arial" w:eastAsiaTheme="minorHAnsi" w:hAnsi="Arial" w:cs="Arial"/>
          <w:b w:val="0"/>
          <w:bCs w:val="0"/>
          <w:sz w:val="22"/>
          <w:szCs w:val="22"/>
          <w:lang w:val="en-GB"/>
        </w:rPr>
        <w:t xml:space="preserve"> </w:t>
      </w:r>
      <w:r w:rsidR="00187357" w:rsidRPr="00187357">
        <w:rPr>
          <w:rFonts w:ascii="Arial" w:hAnsi="Arial" w:cs="Arial"/>
          <w:b w:val="0"/>
          <w:sz w:val="22"/>
          <w:szCs w:val="22"/>
          <w:lang w:val="en-GB"/>
        </w:rPr>
        <w:t>respectively</w:t>
      </w:r>
      <w:r w:rsidR="000D210A">
        <w:rPr>
          <w:rFonts w:ascii="Arial" w:hAnsi="Arial" w:cs="Arial"/>
          <w:b w:val="0"/>
          <w:sz w:val="22"/>
          <w:szCs w:val="22"/>
          <w:lang w:val="en-GB"/>
        </w:rPr>
        <w:t xml:space="preserve">. </w:t>
      </w:r>
      <w:r w:rsidR="001625C1">
        <w:rPr>
          <w:rFonts w:ascii="Arial" w:hAnsi="Arial" w:cs="Arial"/>
          <w:b w:val="0"/>
          <w:sz w:val="22"/>
          <w:szCs w:val="22"/>
          <w:lang w:val="en-GB"/>
        </w:rPr>
        <w:t>No</w:t>
      </w:r>
      <w:r w:rsidR="00E960B1">
        <w:rPr>
          <w:rFonts w:ascii="Arial" w:hAnsi="Arial" w:cs="Arial"/>
          <w:b w:val="0"/>
          <w:sz w:val="22"/>
          <w:szCs w:val="22"/>
          <w:lang w:val="en-GB"/>
        </w:rPr>
        <w:t xml:space="preserve"> d</w:t>
      </w:r>
      <w:r w:rsidR="0036248B">
        <w:rPr>
          <w:rFonts w:ascii="Arial" w:hAnsi="Arial" w:cs="Arial"/>
          <w:b w:val="0"/>
          <w:sz w:val="22"/>
          <w:szCs w:val="22"/>
          <w:lang w:val="en-GB"/>
        </w:rPr>
        <w:t>ecreases</w:t>
      </w:r>
      <w:r w:rsidR="000D210A">
        <w:rPr>
          <w:rFonts w:ascii="Arial" w:hAnsi="Arial" w:cs="Arial"/>
          <w:b w:val="0"/>
          <w:sz w:val="22"/>
          <w:szCs w:val="22"/>
          <w:lang w:val="en-GB"/>
        </w:rPr>
        <w:t xml:space="preserve"> were</w:t>
      </w:r>
      <w:r w:rsidR="0036248B">
        <w:rPr>
          <w:rFonts w:ascii="Arial" w:hAnsi="Arial" w:cs="Arial"/>
          <w:b w:val="0"/>
          <w:sz w:val="22"/>
          <w:szCs w:val="22"/>
          <w:lang w:val="en-GB"/>
        </w:rPr>
        <w:t xml:space="preserve"> </w:t>
      </w:r>
      <w:r w:rsidR="000D210A">
        <w:rPr>
          <w:rFonts w:ascii="Arial" w:hAnsi="Arial" w:cs="Arial"/>
          <w:b w:val="0"/>
          <w:sz w:val="22"/>
          <w:szCs w:val="22"/>
          <w:lang w:val="en-GB"/>
        </w:rPr>
        <w:t>seen elsewhere.</w:t>
      </w:r>
    </w:p>
    <w:p w14:paraId="6686171B" w14:textId="384FB014" w:rsidR="002F152D" w:rsidRPr="00987749" w:rsidRDefault="00580C30" w:rsidP="00987749">
      <w:pPr>
        <w:pStyle w:val="Titre2"/>
        <w:shd w:val="clear" w:color="auto" w:fill="FFFFFF"/>
        <w:spacing w:before="120" w:beforeAutospacing="0" w:after="0" w:afterAutospacing="0" w:line="360" w:lineRule="auto"/>
        <w:jc w:val="both"/>
        <w:rPr>
          <w:rFonts w:ascii="Arial" w:eastAsiaTheme="minorHAnsi" w:hAnsi="Arial" w:cs="Arial"/>
          <w:b w:val="0"/>
          <w:sz w:val="22"/>
          <w:szCs w:val="22"/>
          <w:lang w:val="en-GB"/>
        </w:rPr>
      </w:pPr>
      <w:r>
        <w:rPr>
          <w:rFonts w:ascii="Arial" w:eastAsiaTheme="minorHAnsi" w:hAnsi="Arial" w:cs="Arial"/>
          <w:b w:val="0"/>
          <w:bCs w:val="0"/>
          <w:sz w:val="22"/>
          <w:szCs w:val="22"/>
          <w:lang w:val="en-GB"/>
        </w:rPr>
        <w:t>Overall</w:t>
      </w:r>
      <w:r w:rsidR="00832370">
        <w:rPr>
          <w:rFonts w:ascii="Arial" w:eastAsiaTheme="minorHAnsi" w:hAnsi="Arial" w:cs="Arial"/>
          <w:b w:val="0"/>
          <w:bCs w:val="0"/>
          <w:sz w:val="22"/>
          <w:szCs w:val="22"/>
          <w:lang w:val="en-GB"/>
        </w:rPr>
        <w:t>,</w:t>
      </w:r>
      <w:r w:rsidR="00957C27" w:rsidRPr="00987749">
        <w:rPr>
          <w:rFonts w:ascii="Arial" w:eastAsiaTheme="minorHAnsi" w:hAnsi="Arial" w:cs="Arial"/>
          <w:b w:val="0"/>
          <w:bCs w:val="0"/>
          <w:sz w:val="22"/>
          <w:szCs w:val="22"/>
          <w:lang w:val="en-GB"/>
        </w:rPr>
        <w:t xml:space="preserve"> </w:t>
      </w:r>
      <w:r w:rsidR="00753A07">
        <w:rPr>
          <w:rFonts w:ascii="Arial" w:eastAsiaTheme="minorHAnsi" w:hAnsi="Arial" w:cs="Arial"/>
          <w:b w:val="0"/>
          <w:bCs w:val="0"/>
          <w:sz w:val="22"/>
          <w:szCs w:val="22"/>
          <w:lang w:val="en-GB"/>
        </w:rPr>
        <w:t xml:space="preserve">the </w:t>
      </w:r>
      <w:r w:rsidR="00957C27" w:rsidRPr="00987749">
        <w:rPr>
          <w:rFonts w:ascii="Arial" w:eastAsiaTheme="minorHAnsi" w:hAnsi="Arial" w:cs="Arial"/>
          <w:b w:val="0"/>
          <w:bCs w:val="0"/>
          <w:sz w:val="22"/>
          <w:szCs w:val="22"/>
          <w:lang w:val="en-GB"/>
        </w:rPr>
        <w:t xml:space="preserve">relationship between </w:t>
      </w:r>
      <w:r w:rsidR="00941788" w:rsidRPr="00987749">
        <w:rPr>
          <w:rFonts w:ascii="Arial" w:eastAsiaTheme="minorHAnsi" w:hAnsi="Arial" w:cs="Arial"/>
          <w:b w:val="0"/>
          <w:bCs w:val="0"/>
          <w:sz w:val="22"/>
          <w:szCs w:val="22"/>
          <w:lang w:val="en-GB"/>
        </w:rPr>
        <w:t>air pollution levels and</w:t>
      </w:r>
      <w:r w:rsidR="00F170C8" w:rsidRPr="00987749">
        <w:rPr>
          <w:rFonts w:ascii="Arial" w:eastAsiaTheme="minorHAnsi" w:hAnsi="Arial" w:cs="Arial"/>
          <w:b w:val="0"/>
          <w:bCs w:val="0"/>
          <w:sz w:val="22"/>
          <w:szCs w:val="22"/>
          <w:lang w:val="en-GB"/>
        </w:rPr>
        <w:t xml:space="preserve"> death rates</w:t>
      </w:r>
      <w:r w:rsidR="009049E5" w:rsidRPr="00987749">
        <w:rPr>
          <w:rFonts w:ascii="Arial" w:eastAsiaTheme="minorHAnsi" w:hAnsi="Arial" w:cs="Arial"/>
          <w:b w:val="0"/>
          <w:bCs w:val="0"/>
          <w:sz w:val="22"/>
          <w:szCs w:val="22"/>
          <w:lang w:val="en-GB"/>
        </w:rPr>
        <w:t xml:space="preserve"> </w:t>
      </w:r>
      <w:r w:rsidR="00C41480">
        <w:rPr>
          <w:rFonts w:ascii="Arial" w:eastAsiaTheme="minorHAnsi" w:hAnsi="Arial" w:cs="Arial"/>
          <w:b w:val="0"/>
          <w:bCs w:val="0"/>
          <w:sz w:val="22"/>
          <w:szCs w:val="22"/>
          <w:lang w:val="en-GB"/>
        </w:rPr>
        <w:t xml:space="preserve">during and after the lockdown </w:t>
      </w:r>
      <w:r w:rsidR="00F170C8" w:rsidRPr="00987749">
        <w:rPr>
          <w:rFonts w:ascii="Arial" w:eastAsiaTheme="minorHAnsi" w:hAnsi="Arial" w:cs="Arial"/>
          <w:b w:val="0"/>
          <w:bCs w:val="0"/>
          <w:sz w:val="22"/>
          <w:szCs w:val="22"/>
          <w:lang w:val="en-GB"/>
        </w:rPr>
        <w:t xml:space="preserve">varied </w:t>
      </w:r>
      <w:r w:rsidR="002F152D" w:rsidRPr="00987749">
        <w:rPr>
          <w:rFonts w:ascii="Arial" w:eastAsiaTheme="minorHAnsi" w:hAnsi="Arial" w:cs="Arial"/>
          <w:b w:val="0"/>
          <w:bCs w:val="0"/>
          <w:sz w:val="22"/>
          <w:szCs w:val="22"/>
          <w:lang w:val="en-GB"/>
        </w:rPr>
        <w:t>f</w:t>
      </w:r>
      <w:r w:rsidR="00941788" w:rsidRPr="00987749">
        <w:rPr>
          <w:rFonts w:ascii="Arial" w:eastAsiaTheme="minorHAnsi" w:hAnsi="Arial" w:cs="Arial"/>
          <w:b w:val="0"/>
          <w:bCs w:val="0"/>
          <w:sz w:val="22"/>
          <w:szCs w:val="22"/>
          <w:lang w:val="en-GB"/>
        </w:rPr>
        <w:t xml:space="preserve">rom one </w:t>
      </w:r>
      <w:r w:rsidR="00F170C8" w:rsidRPr="00987749">
        <w:rPr>
          <w:rFonts w:ascii="Arial" w:eastAsiaTheme="minorHAnsi" w:hAnsi="Arial" w:cs="Arial"/>
          <w:b w:val="0"/>
          <w:bCs w:val="0"/>
          <w:sz w:val="22"/>
          <w:szCs w:val="22"/>
          <w:lang w:val="en-GB"/>
        </w:rPr>
        <w:t>country to another</w:t>
      </w:r>
      <w:r w:rsidR="00987749" w:rsidRPr="00987749">
        <w:rPr>
          <w:rFonts w:ascii="Arial" w:eastAsiaTheme="minorHAnsi" w:hAnsi="Arial" w:cs="Arial"/>
          <w:b w:val="0"/>
          <w:bCs w:val="0"/>
          <w:sz w:val="22"/>
          <w:szCs w:val="22"/>
          <w:lang w:val="en-GB"/>
        </w:rPr>
        <w:t xml:space="preserve"> </w:t>
      </w:r>
      <w:r w:rsidR="00F170C8" w:rsidRPr="00987749">
        <w:rPr>
          <w:rFonts w:ascii="Arial" w:eastAsiaTheme="minorHAnsi" w:hAnsi="Arial" w:cs="Arial"/>
          <w:b w:val="0"/>
          <w:bCs w:val="0"/>
          <w:sz w:val="22"/>
          <w:szCs w:val="22"/>
          <w:lang w:val="en-GB"/>
        </w:rPr>
        <w:t>(Figure 1</w:t>
      </w:r>
      <w:r w:rsidR="00FB2147" w:rsidRPr="00987749">
        <w:rPr>
          <w:rFonts w:ascii="Arial" w:eastAsiaTheme="minorHAnsi" w:hAnsi="Arial" w:cs="Arial"/>
          <w:b w:val="0"/>
          <w:bCs w:val="0"/>
          <w:sz w:val="22"/>
          <w:szCs w:val="22"/>
          <w:lang w:val="en-GB"/>
        </w:rPr>
        <w:t>)</w:t>
      </w:r>
      <w:r w:rsidR="00E00073" w:rsidRPr="00987749">
        <w:rPr>
          <w:rFonts w:ascii="Arial" w:eastAsiaTheme="minorHAnsi" w:hAnsi="Arial" w:cs="Arial"/>
          <w:b w:val="0"/>
          <w:bCs w:val="0"/>
          <w:sz w:val="22"/>
          <w:szCs w:val="22"/>
          <w:lang w:val="en-GB"/>
        </w:rPr>
        <w:t xml:space="preserve">. </w:t>
      </w:r>
      <w:bookmarkStart w:id="0" w:name="_GoBack"/>
      <w:r w:rsidR="00E329F7">
        <w:rPr>
          <w:rFonts w:ascii="Arial" w:hAnsi="Arial" w:cs="Arial"/>
          <w:b w:val="0"/>
          <w:sz w:val="22"/>
          <w:szCs w:val="22"/>
          <w:lang w:val="en-GB"/>
        </w:rPr>
        <w:t>I</w:t>
      </w:r>
      <w:r w:rsidR="00E329F7" w:rsidRPr="00987749">
        <w:rPr>
          <w:rFonts w:ascii="Arial" w:hAnsi="Arial" w:cs="Arial"/>
          <w:b w:val="0"/>
          <w:sz w:val="22"/>
          <w:szCs w:val="22"/>
          <w:lang w:val="en-GB"/>
        </w:rPr>
        <w:t xml:space="preserve">n </w:t>
      </w:r>
      <w:r w:rsidR="00F505A7">
        <w:rPr>
          <w:rFonts w:ascii="Arial" w:hAnsi="Arial" w:cs="Arial"/>
          <w:b w:val="0"/>
          <w:sz w:val="22"/>
          <w:szCs w:val="22"/>
          <w:lang w:val="en-GB"/>
        </w:rPr>
        <w:t xml:space="preserve">Ireland, </w:t>
      </w:r>
      <w:r w:rsidR="00E329F7" w:rsidRPr="00987749">
        <w:rPr>
          <w:rFonts w:ascii="Arial" w:hAnsi="Arial" w:cs="Arial"/>
          <w:b w:val="0"/>
          <w:sz w:val="22"/>
          <w:szCs w:val="22"/>
          <w:lang w:val="en-GB"/>
        </w:rPr>
        <w:t>Poland</w:t>
      </w:r>
      <w:r w:rsidR="00E329F7">
        <w:rPr>
          <w:rFonts w:ascii="Arial" w:eastAsiaTheme="minorHAnsi" w:hAnsi="Arial" w:cs="Arial"/>
          <w:b w:val="0"/>
          <w:bCs w:val="0"/>
          <w:sz w:val="22"/>
          <w:szCs w:val="22"/>
          <w:lang w:val="en-GB"/>
        </w:rPr>
        <w:t xml:space="preserve">, </w:t>
      </w:r>
      <w:r w:rsidR="007F48F7" w:rsidRPr="00987749">
        <w:rPr>
          <w:rFonts w:ascii="Arial" w:hAnsi="Arial" w:cs="Arial"/>
          <w:b w:val="0"/>
          <w:sz w:val="22"/>
          <w:szCs w:val="22"/>
          <w:lang w:val="en-GB"/>
        </w:rPr>
        <w:t>Portugal</w:t>
      </w:r>
      <w:r w:rsidR="007F48F7">
        <w:rPr>
          <w:rFonts w:ascii="Arial" w:hAnsi="Arial" w:cs="Arial"/>
          <w:b w:val="0"/>
          <w:sz w:val="22"/>
          <w:szCs w:val="22"/>
          <w:lang w:val="en-GB"/>
        </w:rPr>
        <w:t>,</w:t>
      </w:r>
      <w:r w:rsidR="007F48F7" w:rsidRPr="00987749">
        <w:rPr>
          <w:rFonts w:ascii="Arial" w:hAnsi="Arial" w:cs="Arial"/>
          <w:b w:val="0"/>
          <w:sz w:val="22"/>
          <w:szCs w:val="22"/>
          <w:lang w:val="en-GB"/>
        </w:rPr>
        <w:t xml:space="preserve"> </w:t>
      </w:r>
      <w:r w:rsidR="00F505A7">
        <w:rPr>
          <w:rFonts w:ascii="Arial" w:eastAsiaTheme="minorHAnsi" w:hAnsi="Arial" w:cs="Arial"/>
          <w:b w:val="0"/>
          <w:bCs w:val="0"/>
          <w:sz w:val="22"/>
          <w:szCs w:val="22"/>
          <w:lang w:val="en-GB"/>
        </w:rPr>
        <w:t>Serbia</w:t>
      </w:r>
      <w:r w:rsidR="00C07AD1">
        <w:rPr>
          <w:rFonts w:ascii="Arial" w:eastAsiaTheme="minorHAnsi" w:hAnsi="Arial" w:cs="Arial"/>
          <w:b w:val="0"/>
          <w:bCs w:val="0"/>
          <w:sz w:val="22"/>
          <w:szCs w:val="22"/>
          <w:lang w:val="en-GB"/>
        </w:rPr>
        <w:t xml:space="preserve"> and Switzerland</w:t>
      </w:r>
      <w:r w:rsidR="00F505A7">
        <w:rPr>
          <w:rFonts w:ascii="Arial" w:eastAsiaTheme="minorHAnsi" w:hAnsi="Arial" w:cs="Arial"/>
          <w:b w:val="0"/>
          <w:bCs w:val="0"/>
          <w:sz w:val="22"/>
          <w:szCs w:val="22"/>
          <w:lang w:val="en-GB"/>
        </w:rPr>
        <w:t xml:space="preserve">, </w:t>
      </w:r>
      <w:r w:rsidR="00E329F7">
        <w:rPr>
          <w:rFonts w:ascii="Arial" w:eastAsiaTheme="minorHAnsi" w:hAnsi="Arial" w:cs="Arial"/>
          <w:b w:val="0"/>
          <w:bCs w:val="0"/>
          <w:sz w:val="22"/>
          <w:szCs w:val="22"/>
          <w:lang w:val="en-GB"/>
        </w:rPr>
        <w:t>NO</w:t>
      </w:r>
      <w:r w:rsidR="00E329F7" w:rsidRPr="00E329F7">
        <w:rPr>
          <w:rFonts w:ascii="Arial" w:eastAsiaTheme="minorHAnsi" w:hAnsi="Arial" w:cs="Arial"/>
          <w:b w:val="0"/>
          <w:bCs w:val="0"/>
          <w:sz w:val="22"/>
          <w:szCs w:val="22"/>
          <w:vertAlign w:val="subscript"/>
          <w:lang w:val="en-GB"/>
        </w:rPr>
        <w:t>2</w:t>
      </w:r>
      <w:r w:rsidR="007F48F7">
        <w:rPr>
          <w:rFonts w:ascii="Arial" w:eastAsiaTheme="minorHAnsi" w:hAnsi="Arial" w:cs="Arial"/>
          <w:b w:val="0"/>
          <w:bCs w:val="0"/>
          <w:sz w:val="22"/>
          <w:szCs w:val="22"/>
          <w:lang w:val="en-GB"/>
        </w:rPr>
        <w:t xml:space="preserve">, </w:t>
      </w:r>
      <w:r w:rsidR="00E329F7" w:rsidRPr="00987749">
        <w:rPr>
          <w:rFonts w:ascii="Arial" w:eastAsiaTheme="minorHAnsi" w:hAnsi="Arial" w:cs="Arial"/>
          <w:b w:val="0"/>
          <w:bCs w:val="0"/>
          <w:sz w:val="22"/>
          <w:szCs w:val="22"/>
          <w:lang w:val="en-GB"/>
        </w:rPr>
        <w:t>PM</w:t>
      </w:r>
      <w:r w:rsidR="00E329F7" w:rsidRPr="00D64CC4">
        <w:rPr>
          <w:rFonts w:ascii="Arial" w:eastAsiaTheme="minorHAnsi" w:hAnsi="Arial" w:cs="Arial"/>
          <w:b w:val="0"/>
          <w:bCs w:val="0"/>
          <w:sz w:val="22"/>
          <w:szCs w:val="22"/>
          <w:vertAlign w:val="subscript"/>
          <w:lang w:val="en-GB"/>
        </w:rPr>
        <w:t>10</w:t>
      </w:r>
      <w:r w:rsidR="00E329F7" w:rsidRPr="00987749">
        <w:rPr>
          <w:rFonts w:ascii="Arial" w:eastAsiaTheme="minorHAnsi" w:hAnsi="Arial" w:cs="Arial"/>
          <w:b w:val="0"/>
          <w:bCs w:val="0"/>
          <w:sz w:val="22"/>
          <w:szCs w:val="22"/>
          <w:lang w:val="en-GB"/>
        </w:rPr>
        <w:t xml:space="preserve"> </w:t>
      </w:r>
      <w:r w:rsidR="00E32BC1">
        <w:rPr>
          <w:rFonts w:ascii="Arial" w:eastAsiaTheme="minorHAnsi" w:hAnsi="Arial" w:cs="Arial"/>
          <w:b w:val="0"/>
          <w:bCs w:val="0"/>
          <w:sz w:val="22"/>
          <w:szCs w:val="22"/>
          <w:lang w:val="en-GB"/>
        </w:rPr>
        <w:t xml:space="preserve">or both </w:t>
      </w:r>
      <w:r w:rsidR="00E329F7">
        <w:rPr>
          <w:rFonts w:ascii="Arial" w:eastAsiaTheme="minorHAnsi" w:hAnsi="Arial" w:cs="Arial"/>
          <w:b w:val="0"/>
          <w:bCs w:val="0"/>
          <w:sz w:val="22"/>
          <w:szCs w:val="22"/>
          <w:lang w:val="en-GB"/>
        </w:rPr>
        <w:t xml:space="preserve">levels </w:t>
      </w:r>
      <w:r w:rsidR="003A58E3">
        <w:rPr>
          <w:rFonts w:ascii="Arial" w:eastAsiaTheme="minorHAnsi" w:hAnsi="Arial" w:cs="Arial"/>
          <w:b w:val="0"/>
          <w:bCs w:val="0"/>
          <w:sz w:val="22"/>
          <w:szCs w:val="22"/>
          <w:lang w:val="en-GB"/>
        </w:rPr>
        <w:t>were</w:t>
      </w:r>
      <w:r w:rsidR="003A58E3">
        <w:rPr>
          <w:rFonts w:ascii="Arial" w:hAnsi="Arial" w:cs="Arial"/>
          <w:b w:val="0"/>
          <w:sz w:val="22"/>
          <w:szCs w:val="22"/>
          <w:lang w:val="en-GB"/>
        </w:rPr>
        <w:t xml:space="preserve"> </w:t>
      </w:r>
      <w:r w:rsidR="003A58E3">
        <w:rPr>
          <w:rFonts w:ascii="Arial" w:eastAsiaTheme="minorHAnsi" w:hAnsi="Arial" w:cs="Arial"/>
          <w:b w:val="0"/>
          <w:bCs w:val="0"/>
          <w:sz w:val="22"/>
          <w:szCs w:val="22"/>
          <w:lang w:val="en-GB"/>
        </w:rPr>
        <w:t>significantly</w:t>
      </w:r>
      <w:r w:rsidR="003A58E3">
        <w:rPr>
          <w:rFonts w:ascii="Arial" w:hAnsi="Arial" w:cs="Arial"/>
          <w:b w:val="0"/>
          <w:sz w:val="22"/>
          <w:szCs w:val="22"/>
          <w:lang w:val="en-GB"/>
        </w:rPr>
        <w:t xml:space="preserve"> associated with </w:t>
      </w:r>
      <w:r w:rsidR="003A58E3">
        <w:rPr>
          <w:rFonts w:ascii="Arial" w:eastAsiaTheme="minorHAnsi" w:hAnsi="Arial" w:cs="Arial"/>
          <w:b w:val="0"/>
          <w:bCs w:val="0"/>
          <w:sz w:val="22"/>
          <w:szCs w:val="22"/>
          <w:lang w:val="en-GB"/>
        </w:rPr>
        <w:t>COVID-19 mortality</w:t>
      </w:r>
      <w:r w:rsidR="003A58E3">
        <w:rPr>
          <w:rFonts w:ascii="Arial" w:hAnsi="Arial" w:cs="Arial"/>
          <w:b w:val="0"/>
          <w:sz w:val="22"/>
          <w:szCs w:val="22"/>
          <w:lang w:val="en-GB"/>
        </w:rPr>
        <w:t xml:space="preserve"> </w:t>
      </w:r>
      <w:r w:rsidR="00F505A7">
        <w:rPr>
          <w:rFonts w:ascii="Arial" w:eastAsiaTheme="minorHAnsi" w:hAnsi="Arial" w:cs="Arial"/>
          <w:b w:val="0"/>
          <w:bCs w:val="0"/>
          <w:sz w:val="22"/>
          <w:szCs w:val="22"/>
          <w:lang w:val="en-GB"/>
        </w:rPr>
        <w:t xml:space="preserve">in the post-lockdown </w:t>
      </w:r>
      <w:r w:rsidR="009D3E3B">
        <w:rPr>
          <w:rFonts w:ascii="Arial" w:eastAsiaTheme="minorHAnsi" w:hAnsi="Arial" w:cs="Arial"/>
          <w:b w:val="0"/>
          <w:bCs w:val="0"/>
          <w:sz w:val="22"/>
          <w:szCs w:val="22"/>
          <w:lang w:val="en-GB"/>
        </w:rPr>
        <w:t>period but not during the lockdown</w:t>
      </w:r>
      <w:r w:rsidR="00C41480">
        <w:rPr>
          <w:rFonts w:ascii="Arial" w:hAnsi="Arial" w:cs="Arial"/>
          <w:b w:val="0"/>
          <w:sz w:val="22"/>
          <w:szCs w:val="22"/>
          <w:lang w:val="en-GB"/>
        </w:rPr>
        <w:t xml:space="preserve">, thus suggesting that air pollution diminution during the lockdown </w:t>
      </w:r>
      <w:r w:rsidR="00E329F7">
        <w:rPr>
          <w:rFonts w:ascii="Arial" w:hAnsi="Arial" w:cs="Arial"/>
          <w:b w:val="0"/>
          <w:sz w:val="22"/>
          <w:szCs w:val="22"/>
          <w:lang w:val="en-GB"/>
        </w:rPr>
        <w:t>might be</w:t>
      </w:r>
      <w:r w:rsidR="00C41480">
        <w:rPr>
          <w:rFonts w:ascii="Arial" w:hAnsi="Arial" w:cs="Arial"/>
          <w:b w:val="0"/>
          <w:sz w:val="22"/>
          <w:szCs w:val="22"/>
          <w:lang w:val="en-GB"/>
        </w:rPr>
        <w:t xml:space="preserve"> protective</w:t>
      </w:r>
      <w:r w:rsidR="00216F89">
        <w:rPr>
          <w:rFonts w:ascii="Arial" w:hAnsi="Arial" w:cs="Arial"/>
          <w:b w:val="0"/>
          <w:sz w:val="22"/>
          <w:szCs w:val="22"/>
          <w:lang w:val="en-GB"/>
        </w:rPr>
        <w:t xml:space="preserve">. </w:t>
      </w:r>
      <w:bookmarkEnd w:id="0"/>
      <w:r w:rsidR="00F505A7">
        <w:rPr>
          <w:rFonts w:ascii="Arial" w:hAnsi="Arial" w:cs="Arial"/>
          <w:b w:val="0"/>
          <w:sz w:val="22"/>
          <w:szCs w:val="22"/>
          <w:lang w:val="en-GB"/>
        </w:rPr>
        <w:t>I</w:t>
      </w:r>
      <w:r w:rsidR="00F505A7" w:rsidRPr="00987749">
        <w:rPr>
          <w:rFonts w:ascii="Arial" w:hAnsi="Arial" w:cs="Arial"/>
          <w:b w:val="0"/>
          <w:sz w:val="22"/>
          <w:szCs w:val="22"/>
          <w:lang w:val="en-GB"/>
        </w:rPr>
        <w:t>n France</w:t>
      </w:r>
      <w:r w:rsidR="00F505A7">
        <w:rPr>
          <w:rFonts w:ascii="Arial" w:hAnsi="Arial" w:cs="Arial"/>
          <w:b w:val="0"/>
          <w:sz w:val="22"/>
          <w:szCs w:val="22"/>
          <w:lang w:val="en-GB"/>
        </w:rPr>
        <w:t xml:space="preserve"> and</w:t>
      </w:r>
      <w:r w:rsidR="00F505A7" w:rsidRPr="00987749">
        <w:rPr>
          <w:rFonts w:ascii="Arial" w:hAnsi="Arial" w:cs="Arial"/>
          <w:b w:val="0"/>
          <w:sz w:val="22"/>
          <w:szCs w:val="22"/>
          <w:lang w:val="en-GB"/>
        </w:rPr>
        <w:t xml:space="preserve"> Germany</w:t>
      </w:r>
      <w:r w:rsidR="00F505A7">
        <w:rPr>
          <w:rFonts w:ascii="Arial" w:hAnsi="Arial" w:cs="Arial"/>
          <w:b w:val="0"/>
          <w:sz w:val="22"/>
          <w:szCs w:val="22"/>
          <w:lang w:val="en-GB"/>
        </w:rPr>
        <w:t xml:space="preserve">, </w:t>
      </w:r>
      <w:r w:rsidR="00F505A7" w:rsidRPr="00987749">
        <w:rPr>
          <w:rFonts w:ascii="Arial" w:eastAsiaTheme="minorHAnsi" w:hAnsi="Arial" w:cs="Arial"/>
          <w:b w:val="0"/>
          <w:bCs w:val="0"/>
          <w:sz w:val="22"/>
          <w:szCs w:val="22"/>
          <w:lang w:val="en-GB"/>
        </w:rPr>
        <w:t>PM</w:t>
      </w:r>
      <w:r w:rsidR="00F505A7" w:rsidRPr="00987749">
        <w:rPr>
          <w:rFonts w:ascii="Arial" w:eastAsiaTheme="minorHAnsi" w:hAnsi="Arial" w:cs="Arial"/>
          <w:b w:val="0"/>
          <w:bCs w:val="0"/>
          <w:sz w:val="22"/>
          <w:szCs w:val="22"/>
          <w:vertAlign w:val="subscript"/>
          <w:lang w:val="en-GB"/>
        </w:rPr>
        <w:t>10</w:t>
      </w:r>
      <w:r w:rsidR="00F505A7" w:rsidRPr="00987749">
        <w:rPr>
          <w:rFonts w:ascii="Arial" w:eastAsiaTheme="minorHAnsi" w:hAnsi="Arial" w:cs="Arial"/>
          <w:b w:val="0"/>
          <w:bCs w:val="0"/>
          <w:sz w:val="22"/>
          <w:szCs w:val="22"/>
          <w:lang w:val="en-GB"/>
        </w:rPr>
        <w:t xml:space="preserve">, </w:t>
      </w:r>
      <w:r w:rsidR="00F505A7">
        <w:rPr>
          <w:rFonts w:ascii="Arial" w:hAnsi="Arial" w:cs="Arial"/>
          <w:b w:val="0"/>
          <w:sz w:val="22"/>
          <w:szCs w:val="22"/>
          <w:lang w:val="en-GB"/>
        </w:rPr>
        <w:t>levels were significantly</w:t>
      </w:r>
      <w:r w:rsidR="00F505A7" w:rsidRPr="00987749">
        <w:rPr>
          <w:rFonts w:ascii="Arial" w:hAnsi="Arial" w:cs="Arial"/>
          <w:b w:val="0"/>
          <w:sz w:val="22"/>
          <w:szCs w:val="22"/>
          <w:lang w:val="en-GB"/>
        </w:rPr>
        <w:t xml:space="preserve"> </w:t>
      </w:r>
      <w:r w:rsidR="00F505A7">
        <w:rPr>
          <w:rFonts w:ascii="Arial" w:hAnsi="Arial" w:cs="Arial"/>
          <w:b w:val="0"/>
          <w:sz w:val="22"/>
          <w:szCs w:val="22"/>
          <w:lang w:val="en-GB"/>
        </w:rPr>
        <w:t xml:space="preserve">related to a higher risk of COVID-19 death </w:t>
      </w:r>
      <w:r w:rsidR="00F505A7" w:rsidRPr="00987749">
        <w:rPr>
          <w:rFonts w:ascii="Arial" w:hAnsi="Arial" w:cs="Arial"/>
          <w:b w:val="0"/>
          <w:sz w:val="22"/>
          <w:szCs w:val="22"/>
          <w:lang w:val="en-GB"/>
        </w:rPr>
        <w:t xml:space="preserve">both during and after the </w:t>
      </w:r>
      <w:r w:rsidR="00F505A7">
        <w:rPr>
          <w:rFonts w:ascii="Arial" w:hAnsi="Arial" w:cs="Arial"/>
          <w:b w:val="0"/>
          <w:sz w:val="22"/>
          <w:szCs w:val="22"/>
          <w:lang w:val="en-GB"/>
        </w:rPr>
        <w:t>lockdown</w:t>
      </w:r>
      <w:r w:rsidR="00F505A7" w:rsidRPr="00F20640">
        <w:rPr>
          <w:rFonts w:ascii="Arial" w:hAnsi="Arial" w:cs="Arial"/>
          <w:b w:val="0"/>
          <w:sz w:val="22"/>
          <w:szCs w:val="22"/>
          <w:lang w:val="en-GB"/>
        </w:rPr>
        <w:t>.</w:t>
      </w:r>
      <w:r w:rsidR="00DB2F9D">
        <w:rPr>
          <w:rFonts w:ascii="Arial" w:hAnsi="Arial" w:cs="Arial"/>
          <w:b w:val="0"/>
          <w:sz w:val="22"/>
          <w:szCs w:val="22"/>
          <w:lang w:val="en-GB"/>
        </w:rPr>
        <w:t xml:space="preserve"> The association was significant with NO</w:t>
      </w:r>
      <w:r w:rsidR="00DB2F9D" w:rsidRPr="00DB2F9D">
        <w:rPr>
          <w:rFonts w:ascii="Arial" w:hAnsi="Arial" w:cs="Arial"/>
          <w:b w:val="0"/>
          <w:sz w:val="22"/>
          <w:szCs w:val="22"/>
          <w:vertAlign w:val="subscript"/>
          <w:lang w:val="en-GB"/>
        </w:rPr>
        <w:t>2</w:t>
      </w:r>
      <w:r w:rsidR="00DB2F9D">
        <w:rPr>
          <w:rFonts w:ascii="Arial" w:hAnsi="Arial" w:cs="Arial"/>
          <w:b w:val="0"/>
          <w:sz w:val="22"/>
          <w:szCs w:val="22"/>
          <w:lang w:val="en-GB"/>
        </w:rPr>
        <w:t xml:space="preserve"> during and after the lockdown in Turkey. </w:t>
      </w:r>
      <w:r w:rsidR="00F505A7" w:rsidRPr="00987749">
        <w:rPr>
          <w:rFonts w:ascii="Arial" w:hAnsi="Arial" w:cs="Arial"/>
          <w:b w:val="0"/>
          <w:sz w:val="22"/>
          <w:szCs w:val="22"/>
          <w:lang w:val="en-GB"/>
        </w:rPr>
        <w:t xml:space="preserve"> </w:t>
      </w:r>
      <w:r w:rsidR="00F505A7">
        <w:rPr>
          <w:rFonts w:ascii="Arial" w:hAnsi="Arial" w:cs="Arial"/>
          <w:b w:val="0"/>
          <w:sz w:val="22"/>
          <w:szCs w:val="22"/>
          <w:lang w:val="en-GB"/>
        </w:rPr>
        <w:t>Con</w:t>
      </w:r>
      <w:r w:rsidR="00F505A7" w:rsidRPr="00987749">
        <w:rPr>
          <w:rFonts w:ascii="Arial" w:hAnsi="Arial" w:cs="Arial"/>
          <w:b w:val="0"/>
          <w:sz w:val="22"/>
          <w:szCs w:val="22"/>
          <w:lang w:val="en-GB"/>
        </w:rPr>
        <w:t xml:space="preserve">versely, in </w:t>
      </w:r>
      <w:r w:rsidR="000158E8">
        <w:rPr>
          <w:rFonts w:ascii="Arial" w:hAnsi="Arial" w:cs="Arial"/>
          <w:b w:val="0"/>
          <w:sz w:val="22"/>
          <w:szCs w:val="22"/>
          <w:lang w:val="en-GB"/>
        </w:rPr>
        <w:t>t</w:t>
      </w:r>
      <w:r w:rsidR="00D71FB1">
        <w:rPr>
          <w:rFonts w:ascii="Arial" w:hAnsi="Arial" w:cs="Arial"/>
          <w:b w:val="0"/>
          <w:sz w:val="22"/>
          <w:szCs w:val="22"/>
          <w:lang w:val="en-GB"/>
        </w:rPr>
        <w:t xml:space="preserve">he </w:t>
      </w:r>
      <w:r w:rsidR="00F505A7" w:rsidRPr="00987749">
        <w:rPr>
          <w:rFonts w:ascii="Arial" w:hAnsi="Arial" w:cs="Arial"/>
          <w:b w:val="0"/>
          <w:sz w:val="22"/>
          <w:szCs w:val="22"/>
          <w:lang w:val="en-GB"/>
        </w:rPr>
        <w:t>UK</w:t>
      </w:r>
      <w:r w:rsidR="00D71FB1">
        <w:rPr>
          <w:rFonts w:ascii="Arial" w:hAnsi="Arial" w:cs="Arial"/>
          <w:b w:val="0"/>
          <w:sz w:val="22"/>
          <w:szCs w:val="22"/>
          <w:lang w:val="en-GB"/>
        </w:rPr>
        <w:t>,</w:t>
      </w:r>
      <w:r w:rsidR="00F505A7" w:rsidRPr="00987749">
        <w:rPr>
          <w:rFonts w:ascii="Arial" w:hAnsi="Arial" w:cs="Arial"/>
          <w:b w:val="0"/>
          <w:sz w:val="22"/>
          <w:szCs w:val="22"/>
          <w:lang w:val="en-GB"/>
        </w:rPr>
        <w:t xml:space="preserve"> a significant relationship was seen </w:t>
      </w:r>
      <w:r w:rsidR="00F505A7" w:rsidRPr="00987749">
        <w:rPr>
          <w:rFonts w:ascii="Arial" w:eastAsiaTheme="minorHAnsi" w:hAnsi="Arial" w:cs="Arial"/>
          <w:b w:val="0"/>
          <w:bCs w:val="0"/>
          <w:sz w:val="22"/>
          <w:szCs w:val="22"/>
          <w:lang w:val="en-GB"/>
        </w:rPr>
        <w:t>for both PM</w:t>
      </w:r>
      <w:r w:rsidR="00F505A7" w:rsidRPr="00987749">
        <w:rPr>
          <w:rFonts w:ascii="Arial" w:eastAsiaTheme="minorHAnsi" w:hAnsi="Arial" w:cs="Arial"/>
          <w:b w:val="0"/>
          <w:bCs w:val="0"/>
          <w:sz w:val="22"/>
          <w:szCs w:val="22"/>
          <w:vertAlign w:val="subscript"/>
          <w:lang w:val="en-GB"/>
        </w:rPr>
        <w:t>10</w:t>
      </w:r>
      <w:r w:rsidR="00F505A7" w:rsidRPr="00987749">
        <w:rPr>
          <w:rFonts w:ascii="Arial" w:eastAsiaTheme="minorHAnsi" w:hAnsi="Arial" w:cs="Arial"/>
          <w:b w:val="0"/>
          <w:bCs w:val="0"/>
          <w:sz w:val="22"/>
          <w:szCs w:val="22"/>
          <w:lang w:val="en-GB"/>
        </w:rPr>
        <w:t xml:space="preserve"> and NO</w:t>
      </w:r>
      <w:r w:rsidR="00F505A7" w:rsidRPr="00987749">
        <w:rPr>
          <w:rFonts w:ascii="Arial" w:eastAsiaTheme="minorHAnsi" w:hAnsi="Arial" w:cs="Arial"/>
          <w:b w:val="0"/>
          <w:bCs w:val="0"/>
          <w:sz w:val="22"/>
          <w:szCs w:val="22"/>
          <w:vertAlign w:val="subscript"/>
          <w:lang w:val="en-GB"/>
        </w:rPr>
        <w:t>2</w:t>
      </w:r>
      <w:r w:rsidR="00F505A7" w:rsidRPr="00987749">
        <w:rPr>
          <w:rFonts w:ascii="Arial" w:eastAsiaTheme="minorHAnsi" w:hAnsi="Arial" w:cs="Arial"/>
          <w:b w:val="0"/>
          <w:bCs w:val="0"/>
          <w:sz w:val="22"/>
          <w:szCs w:val="22"/>
          <w:lang w:val="en-GB"/>
        </w:rPr>
        <w:t xml:space="preserve"> </w:t>
      </w:r>
      <w:r w:rsidR="00F505A7" w:rsidRPr="00987749">
        <w:rPr>
          <w:rFonts w:ascii="Arial" w:hAnsi="Arial" w:cs="Arial"/>
          <w:b w:val="0"/>
          <w:sz w:val="22"/>
          <w:szCs w:val="22"/>
          <w:lang w:val="en-GB"/>
        </w:rPr>
        <w:t>during the lockdown</w:t>
      </w:r>
      <w:r w:rsidR="00F505A7">
        <w:rPr>
          <w:rFonts w:ascii="Arial" w:hAnsi="Arial" w:cs="Arial"/>
          <w:b w:val="0"/>
          <w:sz w:val="22"/>
          <w:szCs w:val="22"/>
          <w:lang w:val="en-GB"/>
        </w:rPr>
        <w:t>,</w:t>
      </w:r>
      <w:r w:rsidR="00F505A7" w:rsidRPr="00987749">
        <w:rPr>
          <w:rFonts w:ascii="Arial" w:hAnsi="Arial" w:cs="Arial"/>
          <w:b w:val="0"/>
          <w:sz w:val="22"/>
          <w:szCs w:val="22"/>
          <w:lang w:val="en-GB"/>
        </w:rPr>
        <w:t xml:space="preserve"> but not after. </w:t>
      </w:r>
      <w:r w:rsidR="00F540B0" w:rsidRPr="00987749">
        <w:rPr>
          <w:rFonts w:ascii="Arial" w:eastAsiaTheme="minorHAnsi" w:hAnsi="Arial" w:cs="Arial"/>
          <w:b w:val="0"/>
          <w:sz w:val="22"/>
          <w:szCs w:val="22"/>
          <w:lang w:val="en-GB"/>
        </w:rPr>
        <w:t xml:space="preserve">Lastly, </w:t>
      </w:r>
      <w:r w:rsidR="00F540B0">
        <w:rPr>
          <w:rFonts w:ascii="Arial" w:eastAsiaTheme="minorHAnsi" w:hAnsi="Arial" w:cs="Arial"/>
          <w:b w:val="0"/>
          <w:sz w:val="22"/>
          <w:szCs w:val="22"/>
          <w:lang w:val="en-GB"/>
        </w:rPr>
        <w:t>i</w:t>
      </w:r>
      <w:r w:rsidR="002F152D" w:rsidRPr="00987749">
        <w:rPr>
          <w:rFonts w:ascii="Arial" w:eastAsiaTheme="minorHAnsi" w:hAnsi="Arial" w:cs="Arial"/>
          <w:b w:val="0"/>
          <w:bCs w:val="0"/>
          <w:sz w:val="22"/>
          <w:szCs w:val="22"/>
          <w:lang w:val="en-GB"/>
        </w:rPr>
        <w:t xml:space="preserve">n </w:t>
      </w:r>
      <w:r w:rsidR="002D3C99">
        <w:rPr>
          <w:rFonts w:ascii="Arial" w:eastAsiaTheme="minorHAnsi" w:hAnsi="Arial" w:cs="Arial"/>
          <w:b w:val="0"/>
          <w:bCs w:val="0"/>
          <w:sz w:val="22"/>
          <w:szCs w:val="22"/>
          <w:lang w:val="en-GB"/>
        </w:rPr>
        <w:t>five</w:t>
      </w:r>
      <w:r w:rsidR="002F152D" w:rsidRPr="00987749">
        <w:rPr>
          <w:rFonts w:ascii="Arial" w:eastAsiaTheme="minorHAnsi" w:hAnsi="Arial" w:cs="Arial"/>
          <w:b w:val="0"/>
          <w:bCs w:val="0"/>
          <w:sz w:val="22"/>
          <w:szCs w:val="22"/>
          <w:lang w:val="en-GB"/>
        </w:rPr>
        <w:t xml:space="preserve"> countries </w:t>
      </w:r>
      <w:r w:rsidR="00E72B05" w:rsidRPr="00987749">
        <w:rPr>
          <w:rFonts w:ascii="Arial" w:eastAsiaTheme="minorHAnsi" w:hAnsi="Arial" w:cs="Arial"/>
          <w:b w:val="0"/>
          <w:bCs w:val="0"/>
          <w:sz w:val="22"/>
          <w:szCs w:val="22"/>
          <w:lang w:val="en-GB"/>
        </w:rPr>
        <w:t xml:space="preserve">(Bosnia </w:t>
      </w:r>
      <w:r w:rsidR="00A0469C">
        <w:rPr>
          <w:rFonts w:ascii="Arial" w:eastAsiaTheme="minorHAnsi" w:hAnsi="Arial" w:cs="Arial"/>
          <w:b w:val="0"/>
          <w:bCs w:val="0"/>
          <w:sz w:val="22"/>
          <w:szCs w:val="22"/>
          <w:lang w:val="en-GB"/>
        </w:rPr>
        <w:t xml:space="preserve">and </w:t>
      </w:r>
      <w:r w:rsidR="00E72B05" w:rsidRPr="00987749">
        <w:rPr>
          <w:rFonts w:ascii="Arial" w:eastAsiaTheme="minorHAnsi" w:hAnsi="Arial" w:cs="Arial"/>
          <w:b w:val="0"/>
          <w:bCs w:val="0"/>
          <w:sz w:val="22"/>
          <w:szCs w:val="22"/>
          <w:lang w:val="en-GB"/>
        </w:rPr>
        <w:t>Herzegovina, Estonia</w:t>
      </w:r>
      <w:r w:rsidR="0036248B">
        <w:rPr>
          <w:rFonts w:ascii="Arial" w:eastAsiaTheme="minorHAnsi" w:hAnsi="Arial" w:cs="Arial"/>
          <w:b w:val="0"/>
          <w:bCs w:val="0"/>
          <w:sz w:val="22"/>
          <w:szCs w:val="22"/>
          <w:lang w:val="en-GB"/>
        </w:rPr>
        <w:t>,</w:t>
      </w:r>
      <w:r w:rsidR="00E72B05" w:rsidRPr="00987749">
        <w:rPr>
          <w:rFonts w:ascii="Arial" w:eastAsiaTheme="minorHAnsi" w:hAnsi="Arial" w:cs="Arial"/>
          <w:b w:val="0"/>
          <w:bCs w:val="0"/>
          <w:sz w:val="22"/>
          <w:szCs w:val="22"/>
          <w:lang w:val="en-GB"/>
        </w:rPr>
        <w:t xml:space="preserve"> Macedonia, </w:t>
      </w:r>
      <w:r w:rsidR="00D71FB1">
        <w:rPr>
          <w:rFonts w:ascii="Arial" w:eastAsiaTheme="minorHAnsi" w:hAnsi="Arial" w:cs="Arial"/>
          <w:b w:val="0"/>
          <w:bCs w:val="0"/>
          <w:sz w:val="22"/>
          <w:szCs w:val="22"/>
          <w:lang w:val="en-GB"/>
        </w:rPr>
        <w:t xml:space="preserve">The </w:t>
      </w:r>
      <w:r w:rsidR="00E72B05" w:rsidRPr="00987749">
        <w:rPr>
          <w:rFonts w:ascii="Arial" w:eastAsiaTheme="minorHAnsi" w:hAnsi="Arial" w:cs="Arial"/>
          <w:b w:val="0"/>
          <w:bCs w:val="0"/>
          <w:sz w:val="22"/>
          <w:szCs w:val="22"/>
          <w:lang w:val="en-GB"/>
        </w:rPr>
        <w:t>Netherlands</w:t>
      </w:r>
      <w:r w:rsidR="00D71FB1">
        <w:rPr>
          <w:rFonts w:ascii="Arial" w:eastAsiaTheme="minorHAnsi" w:hAnsi="Arial" w:cs="Arial"/>
          <w:b w:val="0"/>
          <w:bCs w:val="0"/>
          <w:sz w:val="22"/>
          <w:szCs w:val="22"/>
          <w:lang w:val="en-GB"/>
        </w:rPr>
        <w:t xml:space="preserve"> and</w:t>
      </w:r>
      <w:r w:rsidR="00E72B05" w:rsidRPr="00987749">
        <w:rPr>
          <w:rFonts w:ascii="Arial" w:eastAsiaTheme="minorHAnsi" w:hAnsi="Arial" w:cs="Arial"/>
          <w:b w:val="0"/>
          <w:bCs w:val="0"/>
          <w:sz w:val="22"/>
          <w:szCs w:val="22"/>
          <w:lang w:val="en-GB"/>
        </w:rPr>
        <w:t xml:space="preserve"> Slovakia)</w:t>
      </w:r>
      <w:r w:rsidR="00E72B05">
        <w:rPr>
          <w:rFonts w:ascii="Arial" w:eastAsiaTheme="minorHAnsi" w:hAnsi="Arial" w:cs="Arial"/>
          <w:b w:val="0"/>
          <w:bCs w:val="0"/>
          <w:sz w:val="22"/>
          <w:szCs w:val="22"/>
          <w:lang w:val="en-GB"/>
        </w:rPr>
        <w:t xml:space="preserve"> </w:t>
      </w:r>
      <w:r w:rsidR="002F152D" w:rsidRPr="00987749">
        <w:rPr>
          <w:rFonts w:ascii="Arial" w:eastAsiaTheme="minorHAnsi" w:hAnsi="Arial" w:cs="Arial"/>
          <w:b w:val="0"/>
          <w:bCs w:val="0"/>
          <w:sz w:val="22"/>
          <w:szCs w:val="22"/>
          <w:lang w:val="en-GB"/>
        </w:rPr>
        <w:t xml:space="preserve">that did not adopt lockdown restrictions </w:t>
      </w:r>
      <w:r w:rsidR="00EB59E2">
        <w:rPr>
          <w:rFonts w:ascii="Arial" w:eastAsiaTheme="minorHAnsi" w:hAnsi="Arial" w:cs="Arial"/>
          <w:b w:val="0"/>
          <w:bCs w:val="0"/>
          <w:sz w:val="22"/>
          <w:szCs w:val="22"/>
          <w:lang w:val="en-GB"/>
        </w:rPr>
        <w:t>at the beginning of</w:t>
      </w:r>
      <w:r w:rsidR="002F152D" w:rsidRPr="00987749">
        <w:rPr>
          <w:rFonts w:ascii="Arial" w:eastAsiaTheme="minorHAnsi" w:hAnsi="Arial" w:cs="Arial"/>
          <w:b w:val="0"/>
          <w:bCs w:val="0"/>
          <w:sz w:val="22"/>
          <w:szCs w:val="22"/>
          <w:lang w:val="en-GB"/>
        </w:rPr>
        <w:t xml:space="preserve"> epidemic and for which the entire timespan was considered</w:t>
      </w:r>
      <w:r w:rsidR="003861CC" w:rsidRPr="00987749">
        <w:rPr>
          <w:rFonts w:ascii="Arial" w:eastAsiaTheme="minorHAnsi" w:hAnsi="Arial" w:cs="Arial"/>
          <w:b w:val="0"/>
          <w:bCs w:val="0"/>
          <w:sz w:val="22"/>
          <w:szCs w:val="22"/>
          <w:lang w:val="en-GB"/>
        </w:rPr>
        <w:t>,</w:t>
      </w:r>
      <w:r w:rsidR="002F152D" w:rsidRPr="00987749">
        <w:rPr>
          <w:rFonts w:ascii="Arial" w:eastAsiaTheme="minorHAnsi" w:hAnsi="Arial" w:cs="Arial"/>
          <w:b w:val="0"/>
          <w:bCs w:val="0"/>
          <w:sz w:val="22"/>
          <w:szCs w:val="22"/>
          <w:lang w:val="en-GB"/>
        </w:rPr>
        <w:t xml:space="preserve"> the COVID-19 </w:t>
      </w:r>
      <w:r w:rsidR="00B546A5">
        <w:rPr>
          <w:rFonts w:ascii="Arial" w:eastAsiaTheme="minorHAnsi" w:hAnsi="Arial" w:cs="Arial"/>
          <w:b w:val="0"/>
          <w:bCs w:val="0"/>
          <w:sz w:val="22"/>
          <w:szCs w:val="22"/>
          <w:lang w:val="en-GB"/>
        </w:rPr>
        <w:t xml:space="preserve">mortality </w:t>
      </w:r>
      <w:r w:rsidR="002F152D" w:rsidRPr="00987749">
        <w:rPr>
          <w:rFonts w:ascii="Arial" w:eastAsiaTheme="minorHAnsi" w:hAnsi="Arial" w:cs="Arial"/>
          <w:b w:val="0"/>
          <w:bCs w:val="0"/>
          <w:sz w:val="22"/>
          <w:szCs w:val="22"/>
          <w:lang w:val="en-GB"/>
        </w:rPr>
        <w:t>risk was significant</w:t>
      </w:r>
      <w:r w:rsidR="00F540B0">
        <w:rPr>
          <w:rFonts w:ascii="Arial" w:eastAsiaTheme="minorHAnsi" w:hAnsi="Arial" w:cs="Arial"/>
          <w:b w:val="0"/>
          <w:bCs w:val="0"/>
          <w:sz w:val="22"/>
          <w:szCs w:val="22"/>
          <w:lang w:val="en-GB"/>
        </w:rPr>
        <w:t>ly higher</w:t>
      </w:r>
      <w:r w:rsidR="002F152D" w:rsidRPr="00987749">
        <w:rPr>
          <w:rFonts w:ascii="Arial" w:eastAsiaTheme="minorHAnsi" w:hAnsi="Arial" w:cs="Arial"/>
          <w:b w:val="0"/>
          <w:bCs w:val="0"/>
          <w:sz w:val="22"/>
          <w:szCs w:val="22"/>
          <w:lang w:val="en-GB"/>
        </w:rPr>
        <w:t xml:space="preserve"> </w:t>
      </w:r>
      <w:r w:rsidR="00B546A5">
        <w:rPr>
          <w:rFonts w:ascii="Arial" w:eastAsiaTheme="minorHAnsi" w:hAnsi="Arial" w:cs="Arial"/>
          <w:b w:val="0"/>
          <w:bCs w:val="0"/>
          <w:sz w:val="22"/>
          <w:szCs w:val="22"/>
          <w:lang w:val="en-GB"/>
        </w:rPr>
        <w:t xml:space="preserve">only </w:t>
      </w:r>
      <w:r w:rsidR="002F152D" w:rsidRPr="00987749">
        <w:rPr>
          <w:rFonts w:ascii="Arial" w:eastAsiaTheme="minorHAnsi" w:hAnsi="Arial" w:cs="Arial"/>
          <w:b w:val="0"/>
          <w:bCs w:val="0"/>
          <w:sz w:val="22"/>
          <w:szCs w:val="22"/>
          <w:lang w:val="en-GB"/>
        </w:rPr>
        <w:t>for PM</w:t>
      </w:r>
      <w:r w:rsidR="002F152D" w:rsidRPr="00987749">
        <w:rPr>
          <w:rFonts w:ascii="Arial" w:eastAsiaTheme="minorHAnsi" w:hAnsi="Arial" w:cs="Arial"/>
          <w:b w:val="0"/>
          <w:bCs w:val="0"/>
          <w:sz w:val="22"/>
          <w:szCs w:val="22"/>
          <w:vertAlign w:val="subscript"/>
          <w:lang w:val="en-GB"/>
        </w:rPr>
        <w:t>10</w:t>
      </w:r>
      <w:r w:rsidR="002F152D" w:rsidRPr="00987749">
        <w:rPr>
          <w:rFonts w:ascii="Arial" w:eastAsiaTheme="minorHAnsi" w:hAnsi="Arial" w:cs="Arial"/>
          <w:b w:val="0"/>
          <w:bCs w:val="0"/>
          <w:sz w:val="22"/>
          <w:szCs w:val="22"/>
          <w:lang w:val="en-GB"/>
        </w:rPr>
        <w:t xml:space="preserve"> for all the countries</w:t>
      </w:r>
      <w:r w:rsidR="00B546A5">
        <w:rPr>
          <w:rFonts w:ascii="Arial" w:eastAsiaTheme="minorHAnsi" w:hAnsi="Arial" w:cs="Arial"/>
          <w:b w:val="0"/>
          <w:bCs w:val="0"/>
          <w:sz w:val="22"/>
          <w:szCs w:val="22"/>
          <w:lang w:val="en-GB"/>
        </w:rPr>
        <w:t>,</w:t>
      </w:r>
      <w:r w:rsidR="002F152D" w:rsidRPr="00987749">
        <w:rPr>
          <w:rFonts w:ascii="Arial" w:eastAsiaTheme="minorHAnsi" w:hAnsi="Arial" w:cs="Arial"/>
          <w:b w:val="0"/>
          <w:bCs w:val="0"/>
          <w:sz w:val="22"/>
          <w:szCs w:val="22"/>
          <w:lang w:val="en-GB"/>
        </w:rPr>
        <w:t xml:space="preserve"> except Estonia </w:t>
      </w:r>
      <w:r w:rsidR="0014727D">
        <w:rPr>
          <w:rFonts w:ascii="Arial" w:eastAsiaTheme="minorHAnsi" w:hAnsi="Arial" w:cs="Arial"/>
          <w:b w:val="0"/>
          <w:bCs w:val="0"/>
          <w:sz w:val="22"/>
          <w:szCs w:val="22"/>
          <w:lang w:val="en-GB"/>
        </w:rPr>
        <w:t>where</w:t>
      </w:r>
      <w:r w:rsidR="002F152D" w:rsidRPr="00987749">
        <w:rPr>
          <w:rFonts w:ascii="Arial" w:eastAsiaTheme="minorHAnsi" w:hAnsi="Arial" w:cs="Arial"/>
          <w:b w:val="0"/>
          <w:bCs w:val="0"/>
          <w:sz w:val="22"/>
          <w:szCs w:val="22"/>
          <w:lang w:val="en-GB"/>
        </w:rPr>
        <w:t xml:space="preserve"> a</w:t>
      </w:r>
      <w:r w:rsidR="00B546A5">
        <w:rPr>
          <w:rFonts w:ascii="Arial" w:eastAsiaTheme="minorHAnsi" w:hAnsi="Arial" w:cs="Arial"/>
          <w:b w:val="0"/>
          <w:bCs w:val="0"/>
          <w:sz w:val="22"/>
          <w:szCs w:val="22"/>
          <w:lang w:val="en-GB"/>
        </w:rPr>
        <w:t xml:space="preserve"> significantly increased</w:t>
      </w:r>
      <w:r w:rsidR="002F152D" w:rsidRPr="00987749">
        <w:rPr>
          <w:rFonts w:ascii="Arial" w:eastAsiaTheme="minorHAnsi" w:hAnsi="Arial" w:cs="Arial"/>
          <w:b w:val="0"/>
          <w:bCs w:val="0"/>
          <w:sz w:val="22"/>
          <w:szCs w:val="22"/>
          <w:lang w:val="en-GB"/>
        </w:rPr>
        <w:t xml:space="preserve"> COVID-19 </w:t>
      </w:r>
      <w:r w:rsidR="00B546A5">
        <w:rPr>
          <w:rFonts w:ascii="Arial" w:eastAsiaTheme="minorHAnsi" w:hAnsi="Arial" w:cs="Arial"/>
          <w:b w:val="0"/>
          <w:bCs w:val="0"/>
          <w:sz w:val="22"/>
          <w:szCs w:val="22"/>
          <w:lang w:val="en-GB"/>
        </w:rPr>
        <w:t>mortality</w:t>
      </w:r>
      <w:r w:rsidR="002F152D" w:rsidRPr="00987749">
        <w:rPr>
          <w:rFonts w:ascii="Arial" w:eastAsiaTheme="minorHAnsi" w:hAnsi="Arial" w:cs="Arial"/>
          <w:b w:val="0"/>
          <w:bCs w:val="0"/>
          <w:sz w:val="22"/>
          <w:szCs w:val="22"/>
          <w:lang w:val="en-GB"/>
        </w:rPr>
        <w:t xml:space="preserve"> risk was seen only for NO</w:t>
      </w:r>
      <w:r w:rsidR="002F152D" w:rsidRPr="00987749">
        <w:rPr>
          <w:rFonts w:ascii="Arial" w:eastAsiaTheme="minorHAnsi" w:hAnsi="Arial" w:cs="Arial"/>
          <w:b w:val="0"/>
          <w:bCs w:val="0"/>
          <w:sz w:val="22"/>
          <w:szCs w:val="22"/>
          <w:vertAlign w:val="subscript"/>
          <w:lang w:val="en-GB"/>
        </w:rPr>
        <w:t>2</w:t>
      </w:r>
      <w:r w:rsidR="002F152D" w:rsidRPr="00987749">
        <w:rPr>
          <w:rFonts w:ascii="Arial" w:eastAsiaTheme="minorHAnsi" w:hAnsi="Arial" w:cs="Arial"/>
          <w:b w:val="0"/>
          <w:bCs w:val="0"/>
          <w:sz w:val="22"/>
          <w:szCs w:val="22"/>
          <w:lang w:val="en-GB"/>
        </w:rPr>
        <w:t>.</w:t>
      </w:r>
      <w:r w:rsidR="00987749" w:rsidRPr="00987749">
        <w:rPr>
          <w:rFonts w:ascii="Arial" w:eastAsiaTheme="minorHAnsi" w:hAnsi="Arial" w:cs="Arial"/>
          <w:b w:val="0"/>
          <w:sz w:val="22"/>
          <w:szCs w:val="22"/>
          <w:lang w:val="en-GB"/>
        </w:rPr>
        <w:t xml:space="preserve"> </w:t>
      </w:r>
      <w:r w:rsidR="00987749" w:rsidRPr="00987749">
        <w:rPr>
          <w:rFonts w:ascii="Arial" w:hAnsi="Arial" w:cs="Arial"/>
          <w:b w:val="0"/>
          <w:sz w:val="22"/>
          <w:szCs w:val="22"/>
          <w:lang w:val="en-GB"/>
        </w:rPr>
        <w:t>No significant relationship was observed in the other countries</w:t>
      </w:r>
      <w:r w:rsidR="009D7A8C">
        <w:rPr>
          <w:rFonts w:ascii="Arial" w:hAnsi="Arial" w:cs="Arial"/>
          <w:b w:val="0"/>
          <w:sz w:val="22"/>
          <w:szCs w:val="22"/>
          <w:lang w:val="en-GB"/>
        </w:rPr>
        <w:t xml:space="preserve"> whether or not they adopted a lockdown</w:t>
      </w:r>
      <w:r w:rsidR="00987749" w:rsidRPr="00987749">
        <w:rPr>
          <w:rFonts w:ascii="Arial" w:hAnsi="Arial" w:cs="Arial"/>
          <w:b w:val="0"/>
          <w:sz w:val="22"/>
          <w:szCs w:val="22"/>
          <w:lang w:val="en-GB"/>
        </w:rPr>
        <w:t>.</w:t>
      </w:r>
    </w:p>
    <w:p w14:paraId="65B91148" w14:textId="0F478B5E" w:rsidR="00114084" w:rsidRPr="009171DC" w:rsidRDefault="00580C30" w:rsidP="00114084">
      <w:pPr>
        <w:spacing w:before="120" w:after="0" w:line="360" w:lineRule="auto"/>
        <w:jc w:val="both"/>
        <w:rPr>
          <w:lang w:val="en-GB"/>
        </w:rPr>
      </w:pPr>
      <w:r>
        <w:rPr>
          <w:lang w:val="en-GB"/>
        </w:rPr>
        <w:t>Altogether</w:t>
      </w:r>
      <w:r w:rsidR="00114084" w:rsidRPr="009171DC">
        <w:rPr>
          <w:lang w:val="en-GB"/>
        </w:rPr>
        <w:t xml:space="preserve">, our </w:t>
      </w:r>
      <w:r w:rsidR="00114084">
        <w:rPr>
          <w:lang w:val="en-GB"/>
        </w:rPr>
        <w:t xml:space="preserve">national </w:t>
      </w:r>
      <w:r w:rsidR="00114084" w:rsidRPr="009171DC">
        <w:rPr>
          <w:lang w:val="en-GB"/>
        </w:rPr>
        <w:t xml:space="preserve">observations are not conclusive </w:t>
      </w:r>
      <w:r w:rsidR="0014727D">
        <w:rPr>
          <w:lang w:val="en-GB"/>
        </w:rPr>
        <w:t>on</w:t>
      </w:r>
      <w:r w:rsidR="0014727D" w:rsidRPr="009171DC">
        <w:rPr>
          <w:lang w:val="en-GB"/>
        </w:rPr>
        <w:t xml:space="preserve"> </w:t>
      </w:r>
      <w:r w:rsidR="00114084" w:rsidRPr="009171DC">
        <w:rPr>
          <w:lang w:val="en-GB"/>
        </w:rPr>
        <w:t xml:space="preserve">whether the </w:t>
      </w:r>
      <w:r w:rsidR="00114084">
        <w:rPr>
          <w:lang w:val="en-GB"/>
        </w:rPr>
        <w:t xml:space="preserve">first </w:t>
      </w:r>
      <w:r w:rsidR="00114084" w:rsidRPr="009171DC">
        <w:rPr>
          <w:lang w:val="en-GB"/>
        </w:rPr>
        <w:t xml:space="preserve">lockdown modified the relationship between air pollution and COVID-19 mortality in Europe throughout the COVID-19 </w:t>
      </w:r>
      <w:r w:rsidR="00925CA0">
        <w:rPr>
          <w:lang w:val="en-GB"/>
        </w:rPr>
        <w:t>pa</w:t>
      </w:r>
      <w:r w:rsidR="00114084">
        <w:rPr>
          <w:lang w:val="en-GB"/>
        </w:rPr>
        <w:t>ndemic</w:t>
      </w:r>
      <w:r w:rsidR="00114084" w:rsidRPr="009171DC">
        <w:rPr>
          <w:lang w:val="en-GB"/>
        </w:rPr>
        <w:t xml:space="preserve">. </w:t>
      </w:r>
      <w:r w:rsidR="00114084">
        <w:rPr>
          <w:lang w:val="en-GB"/>
        </w:rPr>
        <w:t xml:space="preserve">Only the results obtained in </w:t>
      </w:r>
      <w:r w:rsidR="00002EFF">
        <w:rPr>
          <w:lang w:val="en-GB"/>
        </w:rPr>
        <w:t>five</w:t>
      </w:r>
      <w:r w:rsidR="00114084">
        <w:rPr>
          <w:lang w:val="en-GB"/>
        </w:rPr>
        <w:t xml:space="preserve"> </w:t>
      </w:r>
      <w:r w:rsidR="00114084" w:rsidRPr="009171DC">
        <w:rPr>
          <w:lang w:val="en-GB"/>
        </w:rPr>
        <w:t xml:space="preserve">countries </w:t>
      </w:r>
      <w:r w:rsidR="00114084">
        <w:rPr>
          <w:lang w:val="en-GB"/>
        </w:rPr>
        <w:t xml:space="preserve">sustain </w:t>
      </w:r>
      <w:r w:rsidR="00114084" w:rsidRPr="009171DC">
        <w:rPr>
          <w:lang w:val="en-GB"/>
        </w:rPr>
        <w:t xml:space="preserve">the </w:t>
      </w:r>
      <w:r w:rsidR="00114084">
        <w:rPr>
          <w:lang w:val="en-GB"/>
        </w:rPr>
        <w:t xml:space="preserve">beneficial </w:t>
      </w:r>
      <w:r w:rsidR="00114084" w:rsidRPr="009171DC">
        <w:rPr>
          <w:lang w:val="en-GB"/>
        </w:rPr>
        <w:t>effect of the lockdown</w:t>
      </w:r>
      <w:r w:rsidR="00002EFF">
        <w:rPr>
          <w:lang w:val="en-GB"/>
        </w:rPr>
        <w:t xml:space="preserve">, but </w:t>
      </w:r>
      <w:r w:rsidR="00B27E4B">
        <w:rPr>
          <w:lang w:val="en-GB"/>
        </w:rPr>
        <w:t>this is small</w:t>
      </w:r>
      <w:r w:rsidR="00114084" w:rsidRPr="009171DC">
        <w:rPr>
          <w:lang w:val="en-GB"/>
        </w:rPr>
        <w:t xml:space="preserve">. </w:t>
      </w:r>
      <w:r w:rsidR="00B27E4B">
        <w:rPr>
          <w:lang w:val="en-GB"/>
        </w:rPr>
        <w:t>In</w:t>
      </w:r>
      <w:r w:rsidR="00114084">
        <w:rPr>
          <w:lang w:val="en-GB"/>
        </w:rPr>
        <w:t xml:space="preserve"> </w:t>
      </w:r>
      <w:r w:rsidR="00C07AD1">
        <w:rPr>
          <w:lang w:val="en-GB"/>
        </w:rPr>
        <w:t>three</w:t>
      </w:r>
      <w:r w:rsidR="00B27E4B" w:rsidRPr="009171DC">
        <w:rPr>
          <w:lang w:val="en-GB"/>
        </w:rPr>
        <w:t xml:space="preserve"> </w:t>
      </w:r>
      <w:r w:rsidR="00B27E4B">
        <w:rPr>
          <w:lang w:val="en-GB"/>
        </w:rPr>
        <w:t xml:space="preserve">additional </w:t>
      </w:r>
      <w:r w:rsidR="00114084" w:rsidRPr="009171DC">
        <w:rPr>
          <w:lang w:val="en-GB"/>
        </w:rPr>
        <w:t>countries</w:t>
      </w:r>
      <w:r w:rsidR="00114084">
        <w:rPr>
          <w:lang w:val="en-GB"/>
        </w:rPr>
        <w:t>,</w:t>
      </w:r>
      <w:r w:rsidR="00114084" w:rsidRPr="009171DC">
        <w:rPr>
          <w:lang w:val="en-GB"/>
        </w:rPr>
        <w:t xml:space="preserve"> air pollution </w:t>
      </w:r>
      <w:r w:rsidR="00114084">
        <w:rPr>
          <w:lang w:val="en-GB"/>
        </w:rPr>
        <w:t>was related to</w:t>
      </w:r>
      <w:r w:rsidR="00114084" w:rsidRPr="009171DC">
        <w:rPr>
          <w:lang w:val="en-GB"/>
        </w:rPr>
        <w:t xml:space="preserve"> </w:t>
      </w:r>
      <w:r w:rsidR="00114084">
        <w:rPr>
          <w:lang w:val="en-GB"/>
        </w:rPr>
        <w:t xml:space="preserve">a higher </w:t>
      </w:r>
      <w:r w:rsidR="00114084" w:rsidRPr="009171DC">
        <w:rPr>
          <w:lang w:val="en-GB"/>
        </w:rPr>
        <w:t xml:space="preserve">COVID-19 death </w:t>
      </w:r>
      <w:r w:rsidR="00114084">
        <w:rPr>
          <w:lang w:val="en-GB"/>
        </w:rPr>
        <w:t>risk both during and after the lockdown</w:t>
      </w:r>
      <w:r w:rsidR="00114084" w:rsidRPr="009171DC">
        <w:rPr>
          <w:lang w:val="en-GB"/>
        </w:rPr>
        <w:t>.</w:t>
      </w:r>
    </w:p>
    <w:p w14:paraId="25074A9A" w14:textId="11380EEA" w:rsidR="00114084" w:rsidRPr="008C0B03" w:rsidRDefault="00114084" w:rsidP="00114084">
      <w:pPr>
        <w:spacing w:before="120" w:after="0" w:line="360" w:lineRule="auto"/>
        <w:jc w:val="both"/>
        <w:rPr>
          <w:rStyle w:val="IAMCar"/>
        </w:rPr>
      </w:pPr>
      <w:r w:rsidRPr="009171DC">
        <w:rPr>
          <w:lang w:val="en-GB"/>
        </w:rPr>
        <w:lastRenderedPageBreak/>
        <w:t xml:space="preserve">The observed differences could </w:t>
      </w:r>
      <w:r>
        <w:rPr>
          <w:lang w:val="en-GB"/>
        </w:rPr>
        <w:t xml:space="preserve">possibly </w:t>
      </w:r>
      <w:r w:rsidRPr="009171DC">
        <w:rPr>
          <w:lang w:val="en-GB"/>
        </w:rPr>
        <w:t xml:space="preserve">be explained by the variation in the duration </w:t>
      </w:r>
      <w:r w:rsidR="009D7A8C">
        <w:rPr>
          <w:lang w:val="en-GB"/>
        </w:rPr>
        <w:t xml:space="preserve">(from 4 </w:t>
      </w:r>
      <w:r w:rsidR="00B125EF">
        <w:rPr>
          <w:lang w:val="en-GB"/>
        </w:rPr>
        <w:t xml:space="preserve">(Turkey) to </w:t>
      </w:r>
      <w:r w:rsidR="00B125EF" w:rsidRPr="009171DC">
        <w:rPr>
          <w:lang w:val="en-GB"/>
        </w:rPr>
        <w:t xml:space="preserve">156 </w:t>
      </w:r>
      <w:r w:rsidR="00B125EF" w:rsidRPr="009171DC">
        <w:rPr>
          <w:bCs/>
          <w:lang w:val="en-GB"/>
        </w:rPr>
        <w:t>days</w:t>
      </w:r>
      <w:r w:rsidR="00B125EF">
        <w:rPr>
          <w:lang w:val="en-GB"/>
        </w:rPr>
        <w:t xml:space="preserve"> (UK) </w:t>
      </w:r>
      <w:r w:rsidR="009D7A8C">
        <w:rPr>
          <w:lang w:val="en-GB"/>
        </w:rPr>
        <w:t xml:space="preserve">days, </w:t>
      </w:r>
      <w:r w:rsidR="00EB59E2">
        <w:rPr>
          <w:lang w:val="en-GB"/>
        </w:rPr>
        <w:t xml:space="preserve">with </w:t>
      </w:r>
      <w:r w:rsidR="009D7A8C">
        <w:rPr>
          <w:lang w:val="en-GB"/>
        </w:rPr>
        <w:t xml:space="preserve">a large proportion of countries </w:t>
      </w:r>
      <w:r w:rsidR="00B125EF">
        <w:rPr>
          <w:lang w:val="en-GB"/>
        </w:rPr>
        <w:t>not having adopted the lockdown</w:t>
      </w:r>
      <w:r w:rsidR="009D7A8C">
        <w:rPr>
          <w:lang w:val="en-GB"/>
        </w:rPr>
        <w:t>)</w:t>
      </w:r>
      <w:r w:rsidR="009D7A8C" w:rsidRPr="009171DC">
        <w:rPr>
          <w:lang w:val="en-GB"/>
        </w:rPr>
        <w:t xml:space="preserve"> </w:t>
      </w:r>
      <w:r w:rsidRPr="009171DC">
        <w:rPr>
          <w:lang w:val="en-GB"/>
        </w:rPr>
        <w:t>and the type of lockdown</w:t>
      </w:r>
      <w:r>
        <w:rPr>
          <w:lang w:val="en-GB"/>
        </w:rPr>
        <w:t xml:space="preserve"> among the countries</w:t>
      </w:r>
      <w:r w:rsidRPr="009171DC">
        <w:rPr>
          <w:lang w:val="en-GB"/>
        </w:rPr>
        <w:t xml:space="preserve">. </w:t>
      </w:r>
      <w:r w:rsidR="009D7A8C">
        <w:rPr>
          <w:lang w:val="en-GB"/>
        </w:rPr>
        <w:t>L</w:t>
      </w:r>
      <w:r w:rsidRPr="009171DC">
        <w:rPr>
          <w:color w:val="202122"/>
          <w:sz w:val="21"/>
          <w:szCs w:val="21"/>
          <w:shd w:val="clear" w:color="auto" w:fill="FFFFFF"/>
          <w:lang w:val="en-GB"/>
        </w:rPr>
        <w:t xml:space="preserve">ockdown restrictions </w:t>
      </w:r>
      <w:r w:rsidRPr="009171DC">
        <w:rPr>
          <w:bCs/>
          <w:lang w:val="en-GB"/>
        </w:rPr>
        <w:t xml:space="preserve">ranged from strict stay-at-home to curfew during some hours of the day and included different limitations of activities and working procedures. The heterogeneity of air pollution exposure could also help to </w:t>
      </w:r>
      <w:r w:rsidR="00580C30">
        <w:rPr>
          <w:bCs/>
          <w:lang w:val="en-GB"/>
        </w:rPr>
        <w:t>understand</w:t>
      </w:r>
      <w:r w:rsidRPr="009171DC">
        <w:rPr>
          <w:bCs/>
          <w:lang w:val="en-GB"/>
        </w:rPr>
        <w:t xml:space="preserve"> the results</w:t>
      </w:r>
      <w:r w:rsidR="00580C30">
        <w:rPr>
          <w:bCs/>
          <w:lang w:val="en-GB"/>
        </w:rPr>
        <w:t xml:space="preserve"> as we considered national data through a dispersion model</w:t>
      </w:r>
      <w:r w:rsidRPr="009171DC">
        <w:rPr>
          <w:bCs/>
          <w:lang w:val="en-GB"/>
        </w:rPr>
        <w:t>.</w:t>
      </w:r>
      <w:r>
        <w:rPr>
          <w:bCs/>
          <w:lang w:val="en-GB"/>
        </w:rPr>
        <w:t xml:space="preserve"> </w:t>
      </w:r>
      <w:r w:rsidRPr="008C0B03">
        <w:rPr>
          <w:rStyle w:val="IAMCar"/>
        </w:rPr>
        <w:t xml:space="preserve">Moreover, indoor air pollution might have increased during the </w:t>
      </w:r>
      <w:r>
        <w:rPr>
          <w:rStyle w:val="IAMCar"/>
        </w:rPr>
        <w:t>lockdown,</w:t>
      </w:r>
      <w:r w:rsidRPr="008C0B03">
        <w:rPr>
          <w:rStyle w:val="IAMCar"/>
        </w:rPr>
        <w:t xml:space="preserve"> as people spent more time indoors and burnt more fuel for cooking and heating. </w:t>
      </w:r>
    </w:p>
    <w:p w14:paraId="1AD81C53" w14:textId="77777777" w:rsidR="00982685" w:rsidRPr="002D41D0" w:rsidRDefault="00982685" w:rsidP="00B7696A">
      <w:pPr>
        <w:pStyle w:val="Titre2"/>
        <w:shd w:val="clear" w:color="auto" w:fill="FFFFFF"/>
        <w:spacing w:before="120" w:beforeAutospacing="0" w:after="0" w:afterAutospacing="0" w:line="360" w:lineRule="auto"/>
        <w:jc w:val="both"/>
        <w:rPr>
          <w:rFonts w:ascii="Arial" w:eastAsiaTheme="minorHAnsi" w:hAnsi="Arial" w:cstheme="minorBidi"/>
          <w:b w:val="0"/>
          <w:bCs w:val="0"/>
          <w:sz w:val="22"/>
          <w:szCs w:val="28"/>
          <w:cs/>
          <w:lang w:bidi="bn-IN"/>
        </w:rPr>
      </w:pPr>
    </w:p>
    <w:p w14:paraId="427A9BDC" w14:textId="56C54B57" w:rsidR="00982685" w:rsidRPr="009171DC" w:rsidRDefault="00982685" w:rsidP="00982685">
      <w:pPr>
        <w:jc w:val="center"/>
        <w:rPr>
          <w:lang w:val="en-GB"/>
        </w:rPr>
      </w:pPr>
      <w:r w:rsidRPr="009171DC">
        <w:rPr>
          <w:b/>
          <w:lang w:val="en-GB"/>
        </w:rPr>
        <w:t>Figure 1:</w:t>
      </w:r>
      <w:r w:rsidRPr="009171DC">
        <w:rPr>
          <w:lang w:val="en-GB"/>
        </w:rPr>
        <w:t xml:space="preserve"> Relationship of air pollution to COVID-19 mortality </w:t>
      </w:r>
      <w:r w:rsidR="001625C1">
        <w:rPr>
          <w:lang w:val="en-GB"/>
        </w:rPr>
        <w:t xml:space="preserve">during and after the lockdown </w:t>
      </w:r>
      <w:r w:rsidRPr="009171DC">
        <w:rPr>
          <w:lang w:val="en-GB"/>
        </w:rPr>
        <w:t xml:space="preserve">in the Spring </w:t>
      </w:r>
      <w:r w:rsidR="00985E38">
        <w:rPr>
          <w:lang w:val="en-GB"/>
        </w:rPr>
        <w:t xml:space="preserve">and Summer </w:t>
      </w:r>
      <w:r w:rsidRPr="009171DC">
        <w:rPr>
          <w:lang w:val="en-GB"/>
        </w:rPr>
        <w:t xml:space="preserve">2020 in </w:t>
      </w:r>
      <w:r w:rsidR="001625C1">
        <w:rPr>
          <w:lang w:val="en-GB"/>
        </w:rPr>
        <w:t xml:space="preserve">the </w:t>
      </w:r>
      <w:r w:rsidRPr="009171DC">
        <w:rPr>
          <w:lang w:val="en-GB"/>
        </w:rPr>
        <w:t xml:space="preserve">Europe. </w:t>
      </w:r>
    </w:p>
    <w:p w14:paraId="7940B55D" w14:textId="2FB9693A" w:rsidR="00982685" w:rsidRPr="009171DC" w:rsidRDefault="001625C1" w:rsidP="00B7696A">
      <w:pPr>
        <w:pStyle w:val="Titre2"/>
        <w:shd w:val="clear" w:color="auto" w:fill="FFFFFF"/>
        <w:spacing w:before="120" w:beforeAutospacing="0" w:after="0" w:afterAutospacing="0" w:line="360" w:lineRule="auto"/>
        <w:jc w:val="both"/>
        <w:rPr>
          <w:rFonts w:ascii="Arial" w:eastAsiaTheme="minorHAnsi" w:hAnsi="Arial" w:cs="Arial"/>
          <w:b w:val="0"/>
          <w:bCs w:val="0"/>
          <w:sz w:val="22"/>
          <w:szCs w:val="22"/>
          <w:lang w:val="en-GB"/>
        </w:rPr>
      </w:pPr>
      <w:r>
        <w:rPr>
          <w:rFonts w:ascii="Arial" w:eastAsiaTheme="minorHAnsi" w:hAnsi="Arial" w:cs="Arial"/>
          <w:b w:val="0"/>
          <w:bCs w:val="0"/>
          <w:noProof/>
          <w:sz w:val="22"/>
          <w:szCs w:val="22"/>
          <w:lang w:val="en-GB"/>
        </w:rPr>
        <w:drawing>
          <wp:inline distT="0" distB="0" distL="0" distR="0" wp14:anchorId="0CCB141B" wp14:editId="6AF2DFB7">
            <wp:extent cx="5760720" cy="535813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e_cart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60720" cy="5358130"/>
                    </a:xfrm>
                    <a:prstGeom prst="rect">
                      <a:avLst/>
                    </a:prstGeom>
                  </pic:spPr>
                </pic:pic>
              </a:graphicData>
            </a:graphic>
          </wp:inline>
        </w:drawing>
      </w:r>
    </w:p>
    <w:p w14:paraId="4C794ABF" w14:textId="77777777" w:rsidR="00443099" w:rsidRDefault="00443099" w:rsidP="003031E0">
      <w:pPr>
        <w:spacing w:before="120" w:after="0" w:line="360" w:lineRule="auto"/>
        <w:jc w:val="both"/>
        <w:rPr>
          <w:bCs/>
          <w:lang w:val="en-GB"/>
        </w:rPr>
      </w:pPr>
    </w:p>
    <w:p w14:paraId="66B1D647" w14:textId="2579CB4F" w:rsidR="000D6BC7" w:rsidRPr="009171DC" w:rsidRDefault="008D5EB1" w:rsidP="003031E0">
      <w:pPr>
        <w:spacing w:before="120" w:after="0" w:line="360" w:lineRule="auto"/>
        <w:jc w:val="both"/>
        <w:rPr>
          <w:bCs/>
          <w:lang w:val="en-GB"/>
        </w:rPr>
      </w:pPr>
      <w:r>
        <w:rPr>
          <w:bCs/>
          <w:lang w:val="en-GB"/>
        </w:rPr>
        <w:lastRenderedPageBreak/>
        <w:t>Our</w:t>
      </w:r>
      <w:r w:rsidR="000D6BC7">
        <w:rPr>
          <w:bCs/>
          <w:lang w:val="en-GB"/>
        </w:rPr>
        <w:t xml:space="preserve"> mixed </w:t>
      </w:r>
      <w:r w:rsidR="00906861">
        <w:rPr>
          <w:bCs/>
          <w:lang w:val="en-GB"/>
        </w:rPr>
        <w:t>results</w:t>
      </w:r>
      <w:r w:rsidR="000D6BC7">
        <w:rPr>
          <w:bCs/>
          <w:lang w:val="en-GB"/>
        </w:rPr>
        <w:t xml:space="preserve"> suggest that </w:t>
      </w:r>
      <w:r>
        <w:rPr>
          <w:bCs/>
          <w:lang w:val="en-GB"/>
        </w:rPr>
        <w:t>sharp</w:t>
      </w:r>
      <w:r w:rsidR="0014727D">
        <w:rPr>
          <w:bCs/>
          <w:lang w:val="en-GB"/>
        </w:rPr>
        <w:t>,</w:t>
      </w:r>
      <w:r>
        <w:rPr>
          <w:bCs/>
          <w:lang w:val="en-GB"/>
        </w:rPr>
        <w:t xml:space="preserve"> but short-term effects</w:t>
      </w:r>
      <w:r w:rsidR="0014727D">
        <w:rPr>
          <w:bCs/>
          <w:lang w:val="en-GB"/>
        </w:rPr>
        <w:t>,</w:t>
      </w:r>
      <w:r>
        <w:rPr>
          <w:bCs/>
          <w:lang w:val="en-GB"/>
        </w:rPr>
        <w:t xml:space="preserve"> of air pollution reduction may not be as important in mitigating immediate health impacts as</w:t>
      </w:r>
      <w:r w:rsidR="0014727D">
        <w:rPr>
          <w:bCs/>
          <w:lang w:val="en-GB"/>
        </w:rPr>
        <w:t xml:space="preserve"> the</w:t>
      </w:r>
      <w:r w:rsidR="00906861">
        <w:rPr>
          <w:bCs/>
          <w:lang w:val="en-GB"/>
        </w:rPr>
        <w:t xml:space="preserve"> long</w:t>
      </w:r>
      <w:r w:rsidR="0014727D">
        <w:rPr>
          <w:bCs/>
          <w:lang w:val="en-GB"/>
        </w:rPr>
        <w:t>er</w:t>
      </w:r>
      <w:r w:rsidR="000D210A">
        <w:rPr>
          <w:bCs/>
          <w:lang w:val="en-GB"/>
        </w:rPr>
        <w:t>-</w:t>
      </w:r>
      <w:r w:rsidR="00906861">
        <w:rPr>
          <w:bCs/>
          <w:lang w:val="en-GB"/>
        </w:rPr>
        <w:t>term effects</w:t>
      </w:r>
      <w:r w:rsidR="0014727D">
        <w:rPr>
          <w:bCs/>
          <w:lang w:val="en-GB"/>
        </w:rPr>
        <w:t>. Indeed, it is the long-term, sustained impacts</w:t>
      </w:r>
      <w:r w:rsidR="00906861">
        <w:rPr>
          <w:bCs/>
          <w:lang w:val="en-GB"/>
        </w:rPr>
        <w:t xml:space="preserve"> of air pollution that contribute most to the risk of COVID-19 severity and mortality</w:t>
      </w:r>
      <w:r w:rsidRPr="008D5EB1">
        <w:rPr>
          <w:bCs/>
          <w:vertAlign w:val="superscript"/>
          <w:lang w:val="en-GB"/>
        </w:rPr>
        <w:t>1,2</w:t>
      </w:r>
      <w:r w:rsidR="00906861">
        <w:rPr>
          <w:bCs/>
          <w:lang w:val="en-GB"/>
        </w:rPr>
        <w:t xml:space="preserve">. </w:t>
      </w:r>
      <w:r w:rsidR="0014727D">
        <w:rPr>
          <w:bCs/>
          <w:lang w:val="en-GB"/>
        </w:rPr>
        <w:t>The</w:t>
      </w:r>
      <w:r w:rsidR="00061424">
        <w:rPr>
          <w:bCs/>
          <w:lang w:val="en-GB"/>
        </w:rPr>
        <w:t xml:space="preserve"> strongest links </w:t>
      </w:r>
      <w:r w:rsidR="00F6753D">
        <w:rPr>
          <w:bCs/>
          <w:lang w:val="en-GB"/>
        </w:rPr>
        <w:t xml:space="preserve">our study found </w:t>
      </w:r>
      <w:r w:rsidR="00061424">
        <w:rPr>
          <w:bCs/>
          <w:lang w:val="en-GB"/>
        </w:rPr>
        <w:t>between air pollution concentrations and COVID-19 outcomes</w:t>
      </w:r>
      <w:r>
        <w:rPr>
          <w:bCs/>
          <w:lang w:val="en-GB"/>
        </w:rPr>
        <w:t xml:space="preserve"> during and after the lockdown where </w:t>
      </w:r>
      <w:r w:rsidR="00991A98">
        <w:rPr>
          <w:bCs/>
          <w:lang w:val="en-GB"/>
        </w:rPr>
        <w:t xml:space="preserve">observed </w:t>
      </w:r>
      <w:r>
        <w:rPr>
          <w:bCs/>
          <w:lang w:val="en-GB"/>
        </w:rPr>
        <w:t>in countries w</w:t>
      </w:r>
      <w:r w:rsidR="00F6753D">
        <w:rPr>
          <w:bCs/>
          <w:lang w:val="en-GB"/>
        </w:rPr>
        <w:t>h</w:t>
      </w:r>
      <w:r>
        <w:rPr>
          <w:bCs/>
          <w:lang w:val="en-GB"/>
        </w:rPr>
        <w:t>ere</w:t>
      </w:r>
      <w:r w:rsidR="00061424">
        <w:rPr>
          <w:bCs/>
          <w:lang w:val="en-GB"/>
        </w:rPr>
        <w:t xml:space="preserve"> air quality </w:t>
      </w:r>
      <w:r>
        <w:rPr>
          <w:bCs/>
          <w:lang w:val="en-GB"/>
        </w:rPr>
        <w:t>impacts</w:t>
      </w:r>
      <w:r w:rsidR="00061424">
        <w:rPr>
          <w:bCs/>
          <w:lang w:val="en-GB"/>
        </w:rPr>
        <w:t xml:space="preserve"> are severe and prolonged. </w:t>
      </w:r>
    </w:p>
    <w:p w14:paraId="13D43FD0" w14:textId="19FA9E2D" w:rsidR="00930058" w:rsidRPr="009171DC" w:rsidRDefault="00145452" w:rsidP="003031E0">
      <w:pPr>
        <w:spacing w:before="120" w:after="0" w:line="360" w:lineRule="auto"/>
        <w:jc w:val="both"/>
        <w:rPr>
          <w:lang w:val="en-GB"/>
        </w:rPr>
      </w:pPr>
      <w:r w:rsidRPr="009171DC">
        <w:rPr>
          <w:lang w:val="en-GB"/>
        </w:rPr>
        <w:t xml:space="preserve">Our findings </w:t>
      </w:r>
      <w:r w:rsidR="000D6BC7">
        <w:rPr>
          <w:lang w:val="en-GB"/>
        </w:rPr>
        <w:t>must</w:t>
      </w:r>
      <w:r w:rsidRPr="009171DC">
        <w:rPr>
          <w:lang w:val="en-GB"/>
        </w:rPr>
        <w:t xml:space="preserve"> be interpreted cautiously </w:t>
      </w:r>
      <w:r w:rsidR="000D6BC7">
        <w:rPr>
          <w:lang w:val="en-GB"/>
        </w:rPr>
        <w:t>as</w:t>
      </w:r>
      <w:r w:rsidRPr="009171DC">
        <w:rPr>
          <w:lang w:val="en-GB"/>
        </w:rPr>
        <w:t xml:space="preserve"> we adopted an</w:t>
      </w:r>
      <w:r w:rsidR="00930058" w:rsidRPr="009171DC">
        <w:rPr>
          <w:lang w:val="en-GB"/>
        </w:rPr>
        <w:t xml:space="preserve"> ecological approach</w:t>
      </w:r>
      <w:r w:rsidR="009D7A8C">
        <w:rPr>
          <w:lang w:val="en-GB"/>
        </w:rPr>
        <w:t xml:space="preserve"> at the country level</w:t>
      </w:r>
      <w:r w:rsidR="00F6753D">
        <w:rPr>
          <w:lang w:val="en-GB"/>
        </w:rPr>
        <w:t xml:space="preserve">. </w:t>
      </w:r>
      <w:r w:rsidR="00105512">
        <w:rPr>
          <w:lang w:val="en-GB"/>
        </w:rPr>
        <w:t>In</w:t>
      </w:r>
      <w:r w:rsidR="004B579B" w:rsidRPr="009171DC">
        <w:rPr>
          <w:lang w:val="en-GB"/>
        </w:rPr>
        <w:t xml:space="preserve">dividual-level data </w:t>
      </w:r>
      <w:r w:rsidR="00C50821" w:rsidRPr="009171DC">
        <w:rPr>
          <w:lang w:val="en-GB"/>
        </w:rPr>
        <w:t xml:space="preserve">with exposure and </w:t>
      </w:r>
      <w:r w:rsidR="00105512">
        <w:rPr>
          <w:lang w:val="en-GB"/>
        </w:rPr>
        <w:t>contagion</w:t>
      </w:r>
      <w:r w:rsidR="00C50821" w:rsidRPr="009171DC">
        <w:rPr>
          <w:lang w:val="en-GB"/>
        </w:rPr>
        <w:t xml:space="preserve"> outcomes information </w:t>
      </w:r>
      <w:r w:rsidR="004B579B" w:rsidRPr="009171DC">
        <w:rPr>
          <w:lang w:val="en-GB"/>
        </w:rPr>
        <w:t xml:space="preserve">are needed to adequately address whether </w:t>
      </w:r>
      <w:r w:rsidR="00C50821" w:rsidRPr="009171DC">
        <w:rPr>
          <w:lang w:val="en-GB"/>
        </w:rPr>
        <w:t xml:space="preserve">the reduction of air pollution emissions during the lockdown </w:t>
      </w:r>
      <w:r w:rsidR="000D6BC7">
        <w:rPr>
          <w:lang w:val="en-GB"/>
        </w:rPr>
        <w:t xml:space="preserve">did </w:t>
      </w:r>
      <w:r w:rsidR="00C50821" w:rsidRPr="009171DC">
        <w:rPr>
          <w:lang w:val="en-GB"/>
        </w:rPr>
        <w:t xml:space="preserve">or </w:t>
      </w:r>
      <w:r w:rsidR="00F6753D">
        <w:rPr>
          <w:lang w:val="en-GB"/>
        </w:rPr>
        <w:t xml:space="preserve">did </w:t>
      </w:r>
      <w:r w:rsidR="00C50821" w:rsidRPr="009171DC">
        <w:rPr>
          <w:lang w:val="en-GB"/>
        </w:rPr>
        <w:t>not contribute to a diminution of COVID-19 mortality.</w:t>
      </w:r>
    </w:p>
    <w:p w14:paraId="50A0D418" w14:textId="77777777" w:rsidR="003031E0" w:rsidRPr="009171DC" w:rsidRDefault="003031E0" w:rsidP="003031E0">
      <w:pPr>
        <w:jc w:val="both"/>
        <w:rPr>
          <w:lang w:val="en-GB"/>
        </w:rPr>
      </w:pPr>
    </w:p>
    <w:p w14:paraId="44F58C23" w14:textId="2ADB1294" w:rsidR="003031E0" w:rsidRPr="009171DC" w:rsidRDefault="003031E0" w:rsidP="003031E0">
      <w:pPr>
        <w:jc w:val="both"/>
        <w:rPr>
          <w:b/>
          <w:lang w:val="en-GB"/>
        </w:rPr>
      </w:pPr>
      <w:r w:rsidRPr="009171DC">
        <w:rPr>
          <w:b/>
          <w:lang w:val="en-GB"/>
        </w:rPr>
        <w:t>References</w:t>
      </w:r>
      <w:r w:rsidR="00AC035A" w:rsidRPr="009171DC">
        <w:rPr>
          <w:b/>
          <w:lang w:val="en-GB"/>
        </w:rPr>
        <w:t xml:space="preserve"> </w:t>
      </w:r>
    </w:p>
    <w:p w14:paraId="01FE56AB" w14:textId="41CA9EA0" w:rsidR="005A47BC" w:rsidRPr="009171DC" w:rsidRDefault="005A47BC" w:rsidP="003A58E3">
      <w:pPr>
        <w:pStyle w:val="IAM"/>
        <w:numPr>
          <w:ilvl w:val="0"/>
          <w:numId w:val="2"/>
        </w:numPr>
        <w:ind w:left="426"/>
        <w:rPr>
          <w:noProof/>
        </w:rPr>
      </w:pPr>
      <w:r w:rsidRPr="009171DC">
        <w:rPr>
          <w:noProof/>
          <w:lang w:val="it-IT"/>
        </w:rPr>
        <w:t>Bourdrel T, Annesi-Maesano I, Alahmad B, Maesano C</w:t>
      </w:r>
      <w:r w:rsidR="000D6BC7" w:rsidRPr="009171DC">
        <w:rPr>
          <w:noProof/>
          <w:lang w:val="it-IT"/>
        </w:rPr>
        <w:t>N</w:t>
      </w:r>
      <w:r w:rsidRPr="009171DC">
        <w:rPr>
          <w:noProof/>
          <w:lang w:val="it-IT"/>
        </w:rPr>
        <w:t xml:space="preserve">, Bind MA. </w:t>
      </w:r>
      <w:r w:rsidRPr="009171DC">
        <w:rPr>
          <w:noProof/>
        </w:rPr>
        <w:t xml:space="preserve">The impact of outdoor air pollution on COVID-19: a review of evidence from </w:t>
      </w:r>
      <w:r w:rsidRPr="009171DC">
        <w:rPr>
          <w:i/>
          <w:noProof/>
        </w:rPr>
        <w:t xml:space="preserve">in vitro, </w:t>
      </w:r>
      <w:r w:rsidRPr="009171DC">
        <w:rPr>
          <w:noProof/>
        </w:rPr>
        <w:t>animal, and human studies. Eur Respir Rev</w:t>
      </w:r>
      <w:r w:rsidR="00E91E21">
        <w:rPr>
          <w:noProof/>
        </w:rPr>
        <w:t>, 2021</w:t>
      </w:r>
    </w:p>
    <w:p w14:paraId="3F726DC9" w14:textId="20E319D4" w:rsidR="00AC035A" w:rsidRPr="003A58E3" w:rsidRDefault="003A58E3" w:rsidP="003A58E3">
      <w:pPr>
        <w:pStyle w:val="IAM"/>
        <w:numPr>
          <w:ilvl w:val="0"/>
          <w:numId w:val="2"/>
        </w:numPr>
        <w:ind w:left="426"/>
        <w:rPr>
          <w:noProof/>
          <w:lang w:val="it-IT"/>
        </w:rPr>
      </w:pPr>
      <w:r w:rsidRPr="003A58E3">
        <w:rPr>
          <w:noProof/>
          <w:lang w:val="it-IT"/>
        </w:rPr>
        <w:t xml:space="preserve">Mein SA, Annesi-Maesano I, Rice MB. </w:t>
      </w:r>
      <w:r w:rsidRPr="00B125EF">
        <w:rPr>
          <w:noProof/>
        </w:rPr>
        <w:t xml:space="preserve">COVID-19 Pandemic: A Wake-Up Call for Clean Air. </w:t>
      </w:r>
      <w:r w:rsidRPr="003A58E3">
        <w:rPr>
          <w:noProof/>
          <w:lang w:val="it-IT"/>
        </w:rPr>
        <w:t>Ann Am Thorac Soc. 2021 Apr 6.</w:t>
      </w:r>
    </w:p>
    <w:p w14:paraId="4D02AD39" w14:textId="77777777" w:rsidR="00454EDC" w:rsidRDefault="00454EDC" w:rsidP="00454EDC">
      <w:pPr>
        <w:pStyle w:val="IAM"/>
        <w:numPr>
          <w:ilvl w:val="0"/>
          <w:numId w:val="2"/>
        </w:numPr>
        <w:ind w:left="426"/>
        <w:rPr>
          <w:noProof/>
        </w:rPr>
      </w:pPr>
      <w:r>
        <w:rPr>
          <w:noProof/>
        </w:rPr>
        <w:t>Air Quality in Europe – 2020 report. Report. European Environment Agency (EEA); 2020.</w:t>
      </w:r>
    </w:p>
    <w:p w14:paraId="154F7ECB" w14:textId="342A755F" w:rsidR="00067A35" w:rsidRPr="009171DC" w:rsidRDefault="00067A35" w:rsidP="003A58E3">
      <w:pPr>
        <w:pStyle w:val="IAM"/>
        <w:numPr>
          <w:ilvl w:val="0"/>
          <w:numId w:val="2"/>
        </w:numPr>
        <w:ind w:left="426"/>
        <w:rPr>
          <w:noProof/>
        </w:rPr>
      </w:pPr>
      <w:r w:rsidRPr="009171DC">
        <w:rPr>
          <w:noProof/>
        </w:rPr>
        <w:t>Bao R, Zhang A. Does lockdown reduce air pollution? Evidence from 44 cities in northern China. Sci Total Environ. 2020 Aug 20;731:139052.</w:t>
      </w:r>
    </w:p>
    <w:p w14:paraId="25BFECB8" w14:textId="1DCC3431" w:rsidR="00E515EA" w:rsidRPr="009171DC" w:rsidRDefault="00E515EA" w:rsidP="003A58E3">
      <w:pPr>
        <w:pStyle w:val="IAM"/>
        <w:numPr>
          <w:ilvl w:val="0"/>
          <w:numId w:val="2"/>
        </w:numPr>
        <w:ind w:left="426"/>
        <w:rPr>
          <w:noProof/>
        </w:rPr>
      </w:pPr>
      <w:r w:rsidRPr="009171DC">
        <w:rPr>
          <w:noProof/>
        </w:rPr>
        <w:t xml:space="preserve">Ropkins K, Tate JE. Early observations on the impact of the COVID-19 lockdown on air quality trends across the UK. Sci Total Environ. 2021 Feb 1;754:142374. </w:t>
      </w:r>
    </w:p>
    <w:p w14:paraId="2ABDA33C" w14:textId="0EEF8BC5" w:rsidR="00114084" w:rsidRPr="00114084" w:rsidRDefault="00114084" w:rsidP="003A58E3">
      <w:pPr>
        <w:pStyle w:val="IAM"/>
        <w:numPr>
          <w:ilvl w:val="0"/>
          <w:numId w:val="2"/>
        </w:numPr>
        <w:ind w:left="426"/>
        <w:rPr>
          <w:rFonts w:cs="Arial"/>
          <w:noProof/>
        </w:rPr>
      </w:pPr>
      <w:r w:rsidRPr="003A58E3">
        <w:rPr>
          <w:rFonts w:cs="Arial"/>
          <w:noProof/>
        </w:rPr>
        <w:t xml:space="preserve">Maji KJ, Namdeo A, Bell M, Goodman P, Nagendra SMS, Barnes JH, De Vito L, Hayes E, Longhurst JW, Kumar R, Sharma N, Kuppili SK, Alshetty D. Unprecedented reduction in air pollution and corresponding short-term premature mortality associated with COVID-19 lockdown in Delhi, India. J Air Waste Manag Assoc. 2021 Apr 15:1-17. </w:t>
      </w:r>
    </w:p>
    <w:p w14:paraId="466D513C" w14:textId="16D1CDA0" w:rsidR="00114084" w:rsidRDefault="00114084" w:rsidP="003A58E3">
      <w:pPr>
        <w:pStyle w:val="IAM"/>
        <w:numPr>
          <w:ilvl w:val="0"/>
          <w:numId w:val="2"/>
        </w:numPr>
        <w:ind w:left="426"/>
        <w:rPr>
          <w:noProof/>
        </w:rPr>
      </w:pPr>
      <w:r w:rsidRPr="003A58E3">
        <w:rPr>
          <w:rFonts w:cs="Arial"/>
          <w:noProof/>
        </w:rPr>
        <w:t xml:space="preserve">Kutralam-Muniasamy G, Pérez-Guevara F, Roy PD, Elizalde-Martínez I, Shruti VC. Impacts of the COVID-19 lockdown on air quality and its association with human mortality trends in megapolis Mexico City. Air Qual Atmos Health. 2020 Oct 28:1-10. </w:t>
      </w:r>
    </w:p>
    <w:p w14:paraId="15F8EDAC" w14:textId="09CA2A6D" w:rsidR="00114084" w:rsidRPr="003A58E3" w:rsidRDefault="00114084" w:rsidP="003A58E3">
      <w:pPr>
        <w:pStyle w:val="IAM"/>
        <w:numPr>
          <w:ilvl w:val="0"/>
          <w:numId w:val="2"/>
        </w:numPr>
        <w:ind w:left="426"/>
        <w:rPr>
          <w:noProof/>
          <w:szCs w:val="22"/>
        </w:rPr>
      </w:pPr>
      <w:r w:rsidRPr="003A58E3">
        <w:rPr>
          <w:rFonts w:cs="Arial"/>
          <w:noProof/>
          <w:szCs w:val="22"/>
        </w:rPr>
        <w:t xml:space="preserve">Savaris RF, Pumi G, Dalzochio J, Kunst R. Stay-at-home policy is a case of exception fallacy: an internet-based ecological study. Sci Rep. 2021 Mar 5;11(1):5313. </w:t>
      </w:r>
    </w:p>
    <w:p w14:paraId="4FC5246B" w14:textId="77777777" w:rsidR="001625C1" w:rsidRPr="001625C1" w:rsidRDefault="00991A98" w:rsidP="003A58E3">
      <w:pPr>
        <w:pStyle w:val="IAM"/>
        <w:numPr>
          <w:ilvl w:val="0"/>
          <w:numId w:val="2"/>
        </w:numPr>
        <w:ind w:left="426"/>
        <w:rPr>
          <w:rStyle w:val="Lienhypertexte"/>
          <w:noProof/>
          <w:color w:val="auto"/>
          <w:u w:val="none"/>
        </w:rPr>
      </w:pPr>
      <w:r>
        <w:rPr>
          <w:rStyle w:val="lev"/>
          <w:rFonts w:ascii="Helvetica" w:hAnsi="Helvetica"/>
          <w:sz w:val="23"/>
          <w:szCs w:val="23"/>
          <w:shd w:val="clear" w:color="auto" w:fill="FFFFFF"/>
        </w:rPr>
        <w:t> </w:t>
      </w:r>
      <w:hyperlink r:id="rId7" w:history="1">
        <w:r w:rsidR="001625C1" w:rsidRPr="0036248B">
          <w:rPr>
            <w:rStyle w:val="Lienhypertexte"/>
            <w:lang w:val="en-GB"/>
          </w:rPr>
          <w:t>https://coronavirus.jhu.edu/data/mortality</w:t>
        </w:r>
      </w:hyperlink>
    </w:p>
    <w:p w14:paraId="7AC1E162" w14:textId="573E07D0" w:rsidR="00AC035A" w:rsidRPr="007560BA" w:rsidRDefault="00991A98" w:rsidP="003A58E3">
      <w:pPr>
        <w:pStyle w:val="IAM"/>
        <w:numPr>
          <w:ilvl w:val="0"/>
          <w:numId w:val="2"/>
        </w:numPr>
        <w:ind w:left="426"/>
        <w:rPr>
          <w:rFonts w:cs="Arial"/>
          <w:noProof/>
          <w:szCs w:val="22"/>
        </w:rPr>
      </w:pPr>
      <w:r w:rsidRPr="007560BA">
        <w:rPr>
          <w:rFonts w:cs="Arial"/>
          <w:noProof/>
          <w:szCs w:val="22"/>
        </w:rPr>
        <w:lastRenderedPageBreak/>
        <w:t>Marécal, V., Peuch, V.-H., Andersson, C., Andersson, S., Arteta, J., Beekmann, M., Benedictow, A., Bergström, R., Bessagnet, B., Cansado, A., Chéroux, F., Colette, A., Coman, A., Curier, R. L., Denier van der Gon, H. A. C., Drouin, A., Elbern, H., Emili, E., Engelen, R. J., Eskes, H. J., Foret, G., Friese, E., Gauss, M., Giannaros, C., Guth, J., Joly, M., Jaumouillé, E., Josse, B., Kadygrov, N., Kaiser, J. W., Krajsek, K., Kuenen, J., Kumar, U., Liora, N., Lopez, E., Malherbe, L., Martinez, I., Melas, D., Meleux, F., Menut, L., Moinat, P., Morales, T., Parmentier, J., Piacentini, A., Plu, M., Poupkou, A., Queguiner, S., Robertson, L., Rouïl, L., Schaap, M., Segers, A., Sofiev, M., Tarasson, L., Thomas, M., Timmermans, R., Valdebenito, Á., van Velthoven, P., van Versendaal, R., Vira, J., and Ung, A.: A regional air quality forecasting system over Europe: the MACC-II daily ensemble production, Geosci. Model Dev., 8, 2777–2813</w:t>
      </w:r>
      <w:r w:rsidR="001625C1" w:rsidRPr="007560BA">
        <w:rPr>
          <w:rFonts w:cs="Arial"/>
          <w:noProof/>
          <w:szCs w:val="22"/>
        </w:rPr>
        <w:t>.</w:t>
      </w:r>
    </w:p>
    <w:p w14:paraId="748E511D" w14:textId="01BEAD7A" w:rsidR="003A58E3" w:rsidRPr="009171DC" w:rsidRDefault="003A58E3" w:rsidP="001625C1">
      <w:pPr>
        <w:pStyle w:val="IAM"/>
        <w:ind w:left="426"/>
        <w:rPr>
          <w:noProof/>
        </w:rPr>
      </w:pPr>
    </w:p>
    <w:p w14:paraId="5C11BFC4" w14:textId="77777777" w:rsidR="00AC035A" w:rsidRPr="003A58E3" w:rsidRDefault="00AC035A" w:rsidP="003A58E3">
      <w:pPr>
        <w:widowControl w:val="0"/>
        <w:autoSpaceDE w:val="0"/>
        <w:autoSpaceDN w:val="0"/>
        <w:adjustRightInd w:val="0"/>
        <w:spacing w:line="240" w:lineRule="auto"/>
        <w:rPr>
          <w:noProof/>
          <w:color w:val="000000" w:themeColor="text1"/>
          <w:lang w:val="en-GB"/>
        </w:rPr>
      </w:pPr>
    </w:p>
    <w:p w14:paraId="17EB904B" w14:textId="002D67A5" w:rsidR="000761FF" w:rsidRPr="009171DC" w:rsidRDefault="000761FF" w:rsidP="00E84EF5">
      <w:pPr>
        <w:rPr>
          <w:lang w:val="en-GB"/>
        </w:rPr>
      </w:pPr>
    </w:p>
    <w:sectPr w:rsidR="000761FF" w:rsidRPr="009171DC">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5562AB" w16cex:dateUtc="2021-05-23T21:24:00Z"/>
  <w16cex:commentExtensible w16cex:durableId="2455641C" w16cex:dateUtc="2021-05-23T21:30: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Corbel-Bold">
    <w:altName w:val="MS Mincho"/>
    <w:panose1 w:val="00000000000000000000"/>
    <w:charset w:val="80"/>
    <w:family w:val="auto"/>
    <w:notTrueType/>
    <w:pitch w:val="default"/>
    <w:sig w:usb0="00000001" w:usb1="08070000" w:usb2="00000010" w:usb3="00000000" w:csb0="00020000" w:csb1="00000000"/>
  </w:font>
  <w:font w:name="Vrinda">
    <w:altName w:val="Vrinda"/>
    <w:panose1 w:val="00000400000000000000"/>
    <w:charset w:val="00"/>
    <w:family w:val="swiss"/>
    <w:pitch w:val="variable"/>
    <w:sig w:usb0="0001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49058F"/>
    <w:multiLevelType w:val="hybridMultilevel"/>
    <w:tmpl w:val="CD0841EC"/>
    <w:lvl w:ilvl="0" w:tplc="0409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7BB8169B"/>
    <w:multiLevelType w:val="hybridMultilevel"/>
    <w:tmpl w:val="DA80E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7E0C"/>
    <w:rsid w:val="00002EFF"/>
    <w:rsid w:val="000118D6"/>
    <w:rsid w:val="000158E8"/>
    <w:rsid w:val="0002702E"/>
    <w:rsid w:val="00027A31"/>
    <w:rsid w:val="00041800"/>
    <w:rsid w:val="00044B18"/>
    <w:rsid w:val="0004636D"/>
    <w:rsid w:val="00047273"/>
    <w:rsid w:val="00051979"/>
    <w:rsid w:val="00056E83"/>
    <w:rsid w:val="00060D88"/>
    <w:rsid w:val="00061424"/>
    <w:rsid w:val="00062E86"/>
    <w:rsid w:val="00067A35"/>
    <w:rsid w:val="000761FF"/>
    <w:rsid w:val="0008038B"/>
    <w:rsid w:val="000958B1"/>
    <w:rsid w:val="000A1FD9"/>
    <w:rsid w:val="000A2F00"/>
    <w:rsid w:val="000B5C17"/>
    <w:rsid w:val="000C2C34"/>
    <w:rsid w:val="000D210A"/>
    <w:rsid w:val="000D6BC7"/>
    <w:rsid w:val="000D71E7"/>
    <w:rsid w:val="000F17B5"/>
    <w:rsid w:val="000F5B1B"/>
    <w:rsid w:val="00105512"/>
    <w:rsid w:val="00107AE2"/>
    <w:rsid w:val="00114084"/>
    <w:rsid w:val="0012718D"/>
    <w:rsid w:val="00132C06"/>
    <w:rsid w:val="001407A3"/>
    <w:rsid w:val="001421DA"/>
    <w:rsid w:val="00145452"/>
    <w:rsid w:val="0014727D"/>
    <w:rsid w:val="001625C1"/>
    <w:rsid w:val="00163B77"/>
    <w:rsid w:val="00180910"/>
    <w:rsid w:val="00187357"/>
    <w:rsid w:val="001941A7"/>
    <w:rsid w:val="001A0E6B"/>
    <w:rsid w:val="001B373F"/>
    <w:rsid w:val="001D5C1A"/>
    <w:rsid w:val="00216F89"/>
    <w:rsid w:val="00232DFD"/>
    <w:rsid w:val="002464FF"/>
    <w:rsid w:val="0027731E"/>
    <w:rsid w:val="00294279"/>
    <w:rsid w:val="002A1854"/>
    <w:rsid w:val="002C04C5"/>
    <w:rsid w:val="002D3C99"/>
    <w:rsid w:val="002D41D0"/>
    <w:rsid w:val="002F152D"/>
    <w:rsid w:val="002F1C88"/>
    <w:rsid w:val="002F7ACC"/>
    <w:rsid w:val="003031E0"/>
    <w:rsid w:val="003063A6"/>
    <w:rsid w:val="00306583"/>
    <w:rsid w:val="0033528B"/>
    <w:rsid w:val="0033672E"/>
    <w:rsid w:val="00340562"/>
    <w:rsid w:val="003458EC"/>
    <w:rsid w:val="0036248B"/>
    <w:rsid w:val="003861CC"/>
    <w:rsid w:val="003A04A8"/>
    <w:rsid w:val="003A58E3"/>
    <w:rsid w:val="003A6558"/>
    <w:rsid w:val="003A6BA1"/>
    <w:rsid w:val="003B46D3"/>
    <w:rsid w:val="003B5772"/>
    <w:rsid w:val="003D1EBA"/>
    <w:rsid w:val="003E488B"/>
    <w:rsid w:val="003F0981"/>
    <w:rsid w:val="0041521B"/>
    <w:rsid w:val="00443099"/>
    <w:rsid w:val="00451CB1"/>
    <w:rsid w:val="00454EDC"/>
    <w:rsid w:val="00455785"/>
    <w:rsid w:val="00466064"/>
    <w:rsid w:val="00466FD8"/>
    <w:rsid w:val="004936D0"/>
    <w:rsid w:val="004A5D23"/>
    <w:rsid w:val="004A702A"/>
    <w:rsid w:val="004B579B"/>
    <w:rsid w:val="004B69F0"/>
    <w:rsid w:val="004C4945"/>
    <w:rsid w:val="004D1A56"/>
    <w:rsid w:val="004D462A"/>
    <w:rsid w:val="004E5A4C"/>
    <w:rsid w:val="005223C2"/>
    <w:rsid w:val="00531978"/>
    <w:rsid w:val="00545A00"/>
    <w:rsid w:val="00580C30"/>
    <w:rsid w:val="005847C0"/>
    <w:rsid w:val="00597E4D"/>
    <w:rsid w:val="005A3FC5"/>
    <w:rsid w:val="005A47BC"/>
    <w:rsid w:val="005B1003"/>
    <w:rsid w:val="005B2D1E"/>
    <w:rsid w:val="005B434E"/>
    <w:rsid w:val="00605228"/>
    <w:rsid w:val="006079EF"/>
    <w:rsid w:val="0062548E"/>
    <w:rsid w:val="00637458"/>
    <w:rsid w:val="00660048"/>
    <w:rsid w:val="00672D5B"/>
    <w:rsid w:val="00676698"/>
    <w:rsid w:val="00680673"/>
    <w:rsid w:val="006927AA"/>
    <w:rsid w:val="006A43E8"/>
    <w:rsid w:val="006A5C76"/>
    <w:rsid w:val="006C1DF9"/>
    <w:rsid w:val="006F177D"/>
    <w:rsid w:val="007418A1"/>
    <w:rsid w:val="00750185"/>
    <w:rsid w:val="00753A07"/>
    <w:rsid w:val="007560BA"/>
    <w:rsid w:val="007615B8"/>
    <w:rsid w:val="007717AA"/>
    <w:rsid w:val="00775D5D"/>
    <w:rsid w:val="00794491"/>
    <w:rsid w:val="007B2EE6"/>
    <w:rsid w:val="007B3A4E"/>
    <w:rsid w:val="007C3A59"/>
    <w:rsid w:val="007E30D5"/>
    <w:rsid w:val="007F48F7"/>
    <w:rsid w:val="00817E0C"/>
    <w:rsid w:val="00832370"/>
    <w:rsid w:val="008812D6"/>
    <w:rsid w:val="00887D89"/>
    <w:rsid w:val="008B0999"/>
    <w:rsid w:val="008B6E36"/>
    <w:rsid w:val="008C0B03"/>
    <w:rsid w:val="008D5EB1"/>
    <w:rsid w:val="008E59E4"/>
    <w:rsid w:val="009049E5"/>
    <w:rsid w:val="00905CF0"/>
    <w:rsid w:val="00906861"/>
    <w:rsid w:val="009171DC"/>
    <w:rsid w:val="00925278"/>
    <w:rsid w:val="00925CA0"/>
    <w:rsid w:val="00930058"/>
    <w:rsid w:val="00941788"/>
    <w:rsid w:val="00957C27"/>
    <w:rsid w:val="009665E3"/>
    <w:rsid w:val="00982685"/>
    <w:rsid w:val="00985E38"/>
    <w:rsid w:val="00987749"/>
    <w:rsid w:val="00991A98"/>
    <w:rsid w:val="009B2E05"/>
    <w:rsid w:val="009C614B"/>
    <w:rsid w:val="009D3E3B"/>
    <w:rsid w:val="009D7A8C"/>
    <w:rsid w:val="00A0469C"/>
    <w:rsid w:val="00A118A8"/>
    <w:rsid w:val="00A1241A"/>
    <w:rsid w:val="00A156DE"/>
    <w:rsid w:val="00A252B7"/>
    <w:rsid w:val="00A3601A"/>
    <w:rsid w:val="00A414E0"/>
    <w:rsid w:val="00A52859"/>
    <w:rsid w:val="00A54A20"/>
    <w:rsid w:val="00A607CA"/>
    <w:rsid w:val="00A70293"/>
    <w:rsid w:val="00AA05B1"/>
    <w:rsid w:val="00AC035A"/>
    <w:rsid w:val="00AC4A7E"/>
    <w:rsid w:val="00AF6E91"/>
    <w:rsid w:val="00B125EF"/>
    <w:rsid w:val="00B21D09"/>
    <w:rsid w:val="00B22E91"/>
    <w:rsid w:val="00B248D7"/>
    <w:rsid w:val="00B2552F"/>
    <w:rsid w:val="00B27E4B"/>
    <w:rsid w:val="00B47FF0"/>
    <w:rsid w:val="00B546A5"/>
    <w:rsid w:val="00B57C72"/>
    <w:rsid w:val="00B62676"/>
    <w:rsid w:val="00B72DA1"/>
    <w:rsid w:val="00B7696A"/>
    <w:rsid w:val="00BA3B2D"/>
    <w:rsid w:val="00BB5115"/>
    <w:rsid w:val="00BD3322"/>
    <w:rsid w:val="00BF4776"/>
    <w:rsid w:val="00BF66F2"/>
    <w:rsid w:val="00C07AD1"/>
    <w:rsid w:val="00C118CB"/>
    <w:rsid w:val="00C11B98"/>
    <w:rsid w:val="00C15BEA"/>
    <w:rsid w:val="00C16EB5"/>
    <w:rsid w:val="00C17155"/>
    <w:rsid w:val="00C32A0E"/>
    <w:rsid w:val="00C41480"/>
    <w:rsid w:val="00C50821"/>
    <w:rsid w:val="00C74863"/>
    <w:rsid w:val="00CD095A"/>
    <w:rsid w:val="00CE1C3E"/>
    <w:rsid w:val="00CE79CD"/>
    <w:rsid w:val="00CF025D"/>
    <w:rsid w:val="00D07054"/>
    <w:rsid w:val="00D1024F"/>
    <w:rsid w:val="00D250FA"/>
    <w:rsid w:val="00D32C35"/>
    <w:rsid w:val="00D352B0"/>
    <w:rsid w:val="00D3771D"/>
    <w:rsid w:val="00D64CC4"/>
    <w:rsid w:val="00D66A5B"/>
    <w:rsid w:val="00D71FB1"/>
    <w:rsid w:val="00D84737"/>
    <w:rsid w:val="00D9135B"/>
    <w:rsid w:val="00DB2F9D"/>
    <w:rsid w:val="00DD2D98"/>
    <w:rsid w:val="00DD4F7C"/>
    <w:rsid w:val="00DE6659"/>
    <w:rsid w:val="00E00073"/>
    <w:rsid w:val="00E01AE7"/>
    <w:rsid w:val="00E05821"/>
    <w:rsid w:val="00E249F4"/>
    <w:rsid w:val="00E329F7"/>
    <w:rsid w:val="00E32BC1"/>
    <w:rsid w:val="00E4400B"/>
    <w:rsid w:val="00E515EA"/>
    <w:rsid w:val="00E66649"/>
    <w:rsid w:val="00E72B05"/>
    <w:rsid w:val="00E84EF5"/>
    <w:rsid w:val="00E91E21"/>
    <w:rsid w:val="00E960B1"/>
    <w:rsid w:val="00EB59E2"/>
    <w:rsid w:val="00EB6433"/>
    <w:rsid w:val="00ED59E0"/>
    <w:rsid w:val="00EE4381"/>
    <w:rsid w:val="00EE637C"/>
    <w:rsid w:val="00F02698"/>
    <w:rsid w:val="00F0698C"/>
    <w:rsid w:val="00F170C8"/>
    <w:rsid w:val="00F20640"/>
    <w:rsid w:val="00F33105"/>
    <w:rsid w:val="00F35EC5"/>
    <w:rsid w:val="00F505A7"/>
    <w:rsid w:val="00F51DDC"/>
    <w:rsid w:val="00F540B0"/>
    <w:rsid w:val="00F61E2D"/>
    <w:rsid w:val="00F6753D"/>
    <w:rsid w:val="00F84E0E"/>
    <w:rsid w:val="00F905EF"/>
    <w:rsid w:val="00FA40F5"/>
    <w:rsid w:val="00FB01A3"/>
    <w:rsid w:val="00FB2147"/>
    <w:rsid w:val="00FD130A"/>
    <w:rsid w:val="00FF2054"/>
    <w:rsid w:val="00FF3C7F"/>
    <w:rsid w:val="00FF45B2"/>
  </w:rsids>
  <m:mathPr>
    <m:mathFont m:val="Cambria Math"/>
    <m:brkBin m:val="before"/>
    <m:brkBinSub m:val="--"/>
    <m:smallFrac m:val="0"/>
    <m:dispDef/>
    <m:lMargin m:val="0"/>
    <m:rMargin m:val="0"/>
    <m:defJc m:val="centerGroup"/>
    <m:wrapIndent m:val="1440"/>
    <m:intLim m:val="subSup"/>
    <m:naryLim m:val="undOvr"/>
  </m:mathPr>
  <w:themeFontLang w:val="fr-FR" w:bidi="b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896EE"/>
  <w15:chartTrackingRefBased/>
  <w15:docId w15:val="{EA684461-B7E3-4565-AEB9-8A06577D1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2">
    <w:name w:val="heading 2"/>
    <w:basedOn w:val="Normal"/>
    <w:link w:val="Titre2Car"/>
    <w:uiPriority w:val="9"/>
    <w:qFormat/>
    <w:rsid w:val="00DD4F7C"/>
    <w:pPr>
      <w:spacing w:before="100" w:beforeAutospacing="1" w:after="100" w:afterAutospacing="1" w:line="240" w:lineRule="auto"/>
      <w:outlineLvl w:val="1"/>
    </w:pPr>
    <w:rPr>
      <w:rFonts w:ascii="Times New Roman" w:eastAsia="Times New Roman" w:hAnsi="Times New Roman" w:cs="Times New Roman"/>
      <w:b/>
      <w:bCs/>
      <w:sz w:val="36"/>
      <w:szCs w:val="3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F3C7F"/>
    <w:rPr>
      <w:color w:val="0000FF"/>
      <w:u w:val="single"/>
    </w:rPr>
  </w:style>
  <w:style w:type="character" w:customStyle="1" w:styleId="Titre2Car">
    <w:name w:val="Titre 2 Car"/>
    <w:basedOn w:val="Policepardfaut"/>
    <w:link w:val="Titre2"/>
    <w:uiPriority w:val="9"/>
    <w:rsid w:val="00DD4F7C"/>
    <w:rPr>
      <w:rFonts w:ascii="Times New Roman" w:eastAsia="Times New Roman" w:hAnsi="Times New Roman" w:cs="Times New Roman"/>
      <w:b/>
      <w:bCs/>
      <w:sz w:val="36"/>
      <w:szCs w:val="36"/>
      <w:lang w:val="en-US"/>
    </w:rPr>
  </w:style>
  <w:style w:type="paragraph" w:styleId="Paragraphedeliste">
    <w:name w:val="List Paragraph"/>
    <w:basedOn w:val="Normal"/>
    <w:uiPriority w:val="34"/>
    <w:qFormat/>
    <w:rsid w:val="005A47BC"/>
    <w:pPr>
      <w:ind w:left="720"/>
      <w:contextualSpacing/>
    </w:pPr>
  </w:style>
  <w:style w:type="character" w:styleId="lev">
    <w:name w:val="Strong"/>
    <w:basedOn w:val="Policepardfaut"/>
    <w:uiPriority w:val="22"/>
    <w:qFormat/>
    <w:rsid w:val="00067A35"/>
    <w:rPr>
      <w:b/>
      <w:bCs/>
    </w:rPr>
  </w:style>
  <w:style w:type="character" w:styleId="Marquedecommentaire">
    <w:name w:val="annotation reference"/>
    <w:basedOn w:val="Policepardfaut"/>
    <w:uiPriority w:val="99"/>
    <w:semiHidden/>
    <w:unhideWhenUsed/>
    <w:rsid w:val="00EE4381"/>
    <w:rPr>
      <w:sz w:val="16"/>
      <w:szCs w:val="16"/>
    </w:rPr>
  </w:style>
  <w:style w:type="paragraph" w:styleId="Commentaire">
    <w:name w:val="annotation text"/>
    <w:basedOn w:val="Normal"/>
    <w:link w:val="CommentaireCar"/>
    <w:uiPriority w:val="99"/>
    <w:unhideWhenUsed/>
    <w:rsid w:val="00EE4381"/>
    <w:pPr>
      <w:spacing w:line="240" w:lineRule="auto"/>
    </w:pPr>
    <w:rPr>
      <w:sz w:val="20"/>
      <w:szCs w:val="20"/>
    </w:rPr>
  </w:style>
  <w:style w:type="character" w:customStyle="1" w:styleId="CommentaireCar">
    <w:name w:val="Commentaire Car"/>
    <w:basedOn w:val="Policepardfaut"/>
    <w:link w:val="Commentaire"/>
    <w:uiPriority w:val="99"/>
    <w:rsid w:val="00EE4381"/>
    <w:rPr>
      <w:sz w:val="20"/>
      <w:szCs w:val="20"/>
    </w:rPr>
  </w:style>
  <w:style w:type="paragraph" w:styleId="Objetducommentaire">
    <w:name w:val="annotation subject"/>
    <w:basedOn w:val="Commentaire"/>
    <w:next w:val="Commentaire"/>
    <w:link w:val="ObjetducommentaireCar"/>
    <w:uiPriority w:val="99"/>
    <w:semiHidden/>
    <w:unhideWhenUsed/>
    <w:rsid w:val="00EE4381"/>
    <w:rPr>
      <w:b/>
      <w:bCs/>
    </w:rPr>
  </w:style>
  <w:style w:type="character" w:customStyle="1" w:styleId="ObjetducommentaireCar">
    <w:name w:val="Objet du commentaire Car"/>
    <w:basedOn w:val="CommentaireCar"/>
    <w:link w:val="Objetducommentaire"/>
    <w:uiPriority w:val="99"/>
    <w:semiHidden/>
    <w:rsid w:val="00EE4381"/>
    <w:rPr>
      <w:b/>
      <w:bCs/>
      <w:sz w:val="20"/>
      <w:szCs w:val="20"/>
    </w:rPr>
  </w:style>
  <w:style w:type="paragraph" w:styleId="Textedebulles">
    <w:name w:val="Balloon Text"/>
    <w:basedOn w:val="Normal"/>
    <w:link w:val="TextedebullesCar"/>
    <w:uiPriority w:val="99"/>
    <w:semiHidden/>
    <w:unhideWhenUsed/>
    <w:rsid w:val="00EE4381"/>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4381"/>
    <w:rPr>
      <w:rFonts w:ascii="Segoe UI" w:hAnsi="Segoe UI" w:cs="Segoe UI"/>
      <w:sz w:val="18"/>
      <w:szCs w:val="18"/>
    </w:rPr>
  </w:style>
  <w:style w:type="paragraph" w:customStyle="1" w:styleId="IAM">
    <w:name w:val="IAM"/>
    <w:basedOn w:val="Normal"/>
    <w:link w:val="IAMCar"/>
    <w:qFormat/>
    <w:rsid w:val="004B69F0"/>
    <w:pPr>
      <w:autoSpaceDE w:val="0"/>
      <w:autoSpaceDN w:val="0"/>
      <w:adjustRightInd w:val="0"/>
      <w:spacing w:before="120" w:after="0" w:line="360" w:lineRule="auto"/>
      <w:jc w:val="both"/>
    </w:pPr>
    <w:rPr>
      <w:rFonts w:eastAsia="Corbel-Bold" w:cs="Corbel-Bold"/>
      <w:bCs/>
      <w:szCs w:val="18"/>
      <w:lang w:val="en-US"/>
    </w:rPr>
  </w:style>
  <w:style w:type="character" w:customStyle="1" w:styleId="IAMCar">
    <w:name w:val="IAM Car"/>
    <w:basedOn w:val="Policepardfaut"/>
    <w:link w:val="IAM"/>
    <w:rsid w:val="004B69F0"/>
    <w:rPr>
      <w:rFonts w:eastAsia="Corbel-Bold" w:cs="Corbel-Bold"/>
      <w:bCs/>
      <w:szCs w:val="18"/>
      <w:lang w:val="en-US"/>
    </w:rPr>
  </w:style>
  <w:style w:type="character" w:customStyle="1" w:styleId="ref-lnk">
    <w:name w:val="ref-lnk"/>
    <w:basedOn w:val="Policepardfaut"/>
    <w:rsid w:val="001B373F"/>
  </w:style>
  <w:style w:type="paragraph" w:styleId="Rvision">
    <w:name w:val="Revision"/>
    <w:hidden/>
    <w:uiPriority w:val="99"/>
    <w:semiHidden/>
    <w:rsid w:val="00BB5115"/>
    <w:pPr>
      <w:spacing w:after="0" w:line="240" w:lineRule="auto"/>
    </w:pPr>
  </w:style>
  <w:style w:type="character" w:styleId="Lienhypertextesuivivisit">
    <w:name w:val="FollowedHyperlink"/>
    <w:basedOn w:val="Policepardfaut"/>
    <w:uiPriority w:val="99"/>
    <w:semiHidden/>
    <w:unhideWhenUsed/>
    <w:rsid w:val="0036248B"/>
    <w:rPr>
      <w:color w:val="954F72" w:themeColor="followedHyperlink"/>
      <w:u w:val="single"/>
    </w:rPr>
  </w:style>
  <w:style w:type="character" w:styleId="Mentionnonrsolue">
    <w:name w:val="Unresolved Mention"/>
    <w:basedOn w:val="Policepardfaut"/>
    <w:uiPriority w:val="99"/>
    <w:semiHidden/>
    <w:unhideWhenUsed/>
    <w:rsid w:val="003624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954914">
      <w:bodyDiv w:val="1"/>
      <w:marLeft w:val="0"/>
      <w:marRight w:val="0"/>
      <w:marTop w:val="0"/>
      <w:marBottom w:val="0"/>
      <w:divBdr>
        <w:top w:val="none" w:sz="0" w:space="0" w:color="auto"/>
        <w:left w:val="none" w:sz="0" w:space="0" w:color="auto"/>
        <w:bottom w:val="none" w:sz="0" w:space="0" w:color="auto"/>
        <w:right w:val="none" w:sz="0" w:space="0" w:color="auto"/>
      </w:divBdr>
    </w:div>
    <w:div w:id="128746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coronavirus.jhu.edu/data/mortali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C93B3-3819-4F8E-B51E-3651DA2B4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1686</Words>
  <Characters>9278</Characters>
  <Application>Microsoft Office Word</Application>
  <DocSecurity>0</DocSecurity>
  <Lines>77</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Isabella Annesi-Maesano</dc:creator>
  <cp:keywords/>
  <dc:description/>
  <cp:lastModifiedBy>Isabella</cp:lastModifiedBy>
  <cp:revision>6</cp:revision>
  <dcterms:created xsi:type="dcterms:W3CDTF">2021-05-24T08:56:00Z</dcterms:created>
  <dcterms:modified xsi:type="dcterms:W3CDTF">2021-05-24T11:23:00Z</dcterms:modified>
</cp:coreProperties>
</file>