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1DC11" w14:textId="77777777" w:rsidR="002172D2" w:rsidRDefault="002172D2" w:rsidP="002172D2">
      <w:pPr>
        <w:pStyle w:val="Heading1"/>
      </w:pPr>
      <w:bookmarkStart w:id="0" w:name="_GoBack"/>
      <w:bookmarkEnd w:id="0"/>
      <w:r>
        <w:t>Table 1: Patient Demographics (N=100)</w:t>
      </w:r>
    </w:p>
    <w:tbl>
      <w:tblPr>
        <w:tblW w:w="6254" w:type="dxa"/>
        <w:tblBorders>
          <w:top w:val="single" w:sz="4" w:space="0" w:color="000000"/>
          <w:bottom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61"/>
        <w:gridCol w:w="2693"/>
      </w:tblGrid>
      <w:tr w:rsidR="002172D2" w14:paraId="453C7078" w14:textId="77777777" w:rsidTr="0059285A">
        <w:trPr>
          <w:trHeight w:val="161"/>
        </w:trPr>
        <w:tc>
          <w:tcPr>
            <w:tcW w:w="3561" w:type="dxa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1845730" w14:textId="77777777" w:rsidR="002172D2" w:rsidRPr="00FF2F21" w:rsidRDefault="002172D2" w:rsidP="0059285A">
            <w:pPr>
              <w:rPr>
                <w:b/>
              </w:rPr>
            </w:pPr>
            <w:r>
              <w:rPr>
                <w:b/>
              </w:rPr>
              <w:t>Mean Age (± SD)</w:t>
            </w:r>
          </w:p>
        </w:tc>
        <w:tc>
          <w:tcPr>
            <w:tcW w:w="2693" w:type="dxa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D118C34" w14:textId="77777777" w:rsidR="002172D2" w:rsidRPr="00BD22A0" w:rsidRDefault="002172D2" w:rsidP="0059285A">
            <w:pPr>
              <w:rPr>
                <w:bCs/>
              </w:rPr>
            </w:pPr>
            <w:r>
              <w:t xml:space="preserve">62.6 </w:t>
            </w:r>
            <w:r>
              <w:rPr>
                <w:b/>
              </w:rPr>
              <w:t xml:space="preserve">± </w:t>
            </w:r>
            <w:r>
              <w:rPr>
                <w:bCs/>
              </w:rPr>
              <w:t>13.9</w:t>
            </w:r>
          </w:p>
        </w:tc>
      </w:tr>
      <w:tr w:rsidR="002172D2" w14:paraId="075EDB42" w14:textId="77777777" w:rsidTr="0059285A">
        <w:trPr>
          <w:trHeight w:val="161"/>
        </w:trPr>
        <w:tc>
          <w:tcPr>
            <w:tcW w:w="3561" w:type="dxa"/>
            <w:tcBorders>
              <w:top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AB393AB" w14:textId="77777777" w:rsidR="002172D2" w:rsidRDefault="002172D2" w:rsidP="0059285A">
            <w:r>
              <w:rPr>
                <w:b/>
              </w:rPr>
              <w:t>Sex</w:t>
            </w:r>
          </w:p>
        </w:tc>
        <w:tc>
          <w:tcPr>
            <w:tcW w:w="2693" w:type="dxa"/>
            <w:tcBorders>
              <w:top w:val="single" w:sz="4" w:space="0" w:color="FFFFFF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634EC6D" w14:textId="77777777" w:rsidR="002172D2" w:rsidRDefault="002172D2" w:rsidP="0059285A"/>
        </w:tc>
      </w:tr>
      <w:tr w:rsidR="002172D2" w14:paraId="27E3A8FE" w14:textId="77777777" w:rsidTr="0059285A">
        <w:trPr>
          <w:trHeight w:val="18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D0E154B" w14:textId="77777777" w:rsidR="002172D2" w:rsidRDefault="002172D2" w:rsidP="0059285A">
            <w:r>
              <w:t xml:space="preserve">     Female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053BF6F" w14:textId="77777777" w:rsidR="002172D2" w:rsidRDefault="002172D2" w:rsidP="0059285A">
            <w:r>
              <w:t>41% (41)</w:t>
            </w:r>
          </w:p>
        </w:tc>
      </w:tr>
      <w:tr w:rsidR="002172D2" w14:paraId="3D38CBFE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3D6DD6F" w14:textId="77777777" w:rsidR="002172D2" w:rsidRDefault="002172D2" w:rsidP="0059285A">
            <w:r>
              <w:t xml:space="preserve">     Male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44F9C64A" w14:textId="77777777" w:rsidR="002172D2" w:rsidRDefault="002172D2" w:rsidP="0059285A">
            <w:r>
              <w:t>59% (59)</w:t>
            </w:r>
          </w:p>
        </w:tc>
      </w:tr>
      <w:tr w:rsidR="002172D2" w14:paraId="7C3ECA85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46F69136" w14:textId="77777777" w:rsidR="002172D2" w:rsidRDefault="002172D2" w:rsidP="0059285A">
            <w:r>
              <w:rPr>
                <w:b/>
              </w:rPr>
              <w:t>Race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C2D9875" w14:textId="77777777" w:rsidR="002172D2" w:rsidRDefault="002172D2" w:rsidP="0059285A"/>
        </w:tc>
      </w:tr>
      <w:tr w:rsidR="002172D2" w14:paraId="27C0255A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FEC40A3" w14:textId="77777777" w:rsidR="002172D2" w:rsidRDefault="002172D2" w:rsidP="0059285A">
            <w:r>
              <w:t xml:space="preserve">     White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5786B7A" w14:textId="77777777" w:rsidR="002172D2" w:rsidRDefault="002172D2" w:rsidP="0059285A">
            <w:r>
              <w:t>85% (85)</w:t>
            </w:r>
          </w:p>
        </w:tc>
      </w:tr>
      <w:tr w:rsidR="002172D2" w14:paraId="14286F1F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165B541" w14:textId="77777777" w:rsidR="002172D2" w:rsidRDefault="002172D2" w:rsidP="0059285A">
            <w:r>
              <w:t xml:space="preserve">     Black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5E74400" w14:textId="77777777" w:rsidR="002172D2" w:rsidRDefault="002172D2" w:rsidP="0059285A">
            <w:r>
              <w:t>6% (6)</w:t>
            </w:r>
          </w:p>
        </w:tc>
      </w:tr>
      <w:tr w:rsidR="002172D2" w14:paraId="1DC485BE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E3BB7CC" w14:textId="77777777" w:rsidR="002172D2" w:rsidRDefault="002172D2" w:rsidP="0059285A">
            <w:r>
              <w:t xml:space="preserve">     Asian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4070E84" w14:textId="77777777" w:rsidR="002172D2" w:rsidRDefault="002172D2" w:rsidP="0059285A">
            <w:r>
              <w:t>3% (3)</w:t>
            </w:r>
          </w:p>
        </w:tc>
      </w:tr>
      <w:tr w:rsidR="002172D2" w14:paraId="7FCB231D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74B8ECF" w14:textId="77777777" w:rsidR="002172D2" w:rsidRDefault="002172D2" w:rsidP="0059285A">
            <w:r>
              <w:t xml:space="preserve">     Other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48B26B4C" w14:textId="77777777" w:rsidR="002172D2" w:rsidRDefault="002172D2" w:rsidP="0059285A">
            <w:r>
              <w:t>6% (6)</w:t>
            </w:r>
          </w:p>
        </w:tc>
      </w:tr>
      <w:tr w:rsidR="002172D2" w14:paraId="7FB263C2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F0F0DF1" w14:textId="77777777" w:rsidR="002172D2" w:rsidRDefault="002172D2" w:rsidP="0059285A">
            <w:r>
              <w:rPr>
                <w:b/>
              </w:rPr>
              <w:t>Insurance Status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F969A82" w14:textId="77777777" w:rsidR="002172D2" w:rsidRDefault="002172D2" w:rsidP="0059285A"/>
        </w:tc>
      </w:tr>
      <w:tr w:rsidR="002172D2" w14:paraId="46EC9852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9AA1776" w14:textId="77777777" w:rsidR="002172D2" w:rsidRDefault="002172D2" w:rsidP="0059285A">
            <w:r>
              <w:t xml:space="preserve">     Uninsured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D53122A" w14:textId="77777777" w:rsidR="002172D2" w:rsidRDefault="002172D2" w:rsidP="0059285A">
            <w:r>
              <w:t>3% (3)</w:t>
            </w:r>
          </w:p>
        </w:tc>
      </w:tr>
      <w:tr w:rsidR="002172D2" w14:paraId="3493F186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D9C4B11" w14:textId="77777777" w:rsidR="002172D2" w:rsidRDefault="002172D2" w:rsidP="0059285A">
            <w:r>
              <w:t xml:space="preserve">     Private insurance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FF8BDBD" w14:textId="77777777" w:rsidR="002172D2" w:rsidRDefault="002172D2" w:rsidP="0059285A">
            <w:r>
              <w:t>55% (55)</w:t>
            </w:r>
          </w:p>
        </w:tc>
      </w:tr>
      <w:tr w:rsidR="002172D2" w14:paraId="141FFCD4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AA570E1" w14:textId="77777777" w:rsidR="002172D2" w:rsidRDefault="002172D2" w:rsidP="0059285A">
            <w:r>
              <w:t xml:space="preserve">     Medicaid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7E8415B" w14:textId="77777777" w:rsidR="002172D2" w:rsidRDefault="002172D2" w:rsidP="0059285A">
            <w:r>
              <w:t>2% (2)</w:t>
            </w:r>
          </w:p>
        </w:tc>
      </w:tr>
      <w:tr w:rsidR="002172D2" w14:paraId="6FF1DE6B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A331068" w14:textId="77777777" w:rsidR="002172D2" w:rsidRDefault="002172D2" w:rsidP="0059285A">
            <w:r>
              <w:t xml:space="preserve">     Medicare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40932E3" w14:textId="77777777" w:rsidR="002172D2" w:rsidRDefault="002172D2" w:rsidP="0059285A">
            <w:r>
              <w:t>40% (40)</w:t>
            </w:r>
          </w:p>
        </w:tc>
      </w:tr>
      <w:tr w:rsidR="002172D2" w14:paraId="690E13A5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CEE924D" w14:textId="77777777" w:rsidR="002172D2" w:rsidRDefault="002172D2" w:rsidP="0059285A">
            <w:pPr>
              <w:rPr>
                <w:b/>
              </w:rPr>
            </w:pPr>
            <w:r>
              <w:rPr>
                <w:b/>
              </w:rPr>
              <w:t>Educational Attainment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76F6F4F" w14:textId="77777777" w:rsidR="002172D2" w:rsidRDefault="002172D2" w:rsidP="0059285A">
            <w:pPr>
              <w:rPr>
                <w:b/>
              </w:rPr>
            </w:pPr>
          </w:p>
        </w:tc>
      </w:tr>
      <w:tr w:rsidR="002172D2" w14:paraId="7E0C78E3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C149B00" w14:textId="77777777" w:rsidR="002172D2" w:rsidRDefault="002172D2" w:rsidP="0059285A">
            <w:r>
              <w:t xml:space="preserve">     Did not complete high school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D8B24B8" w14:textId="77777777" w:rsidR="002172D2" w:rsidRDefault="002172D2" w:rsidP="0059285A">
            <w:r>
              <w:t>3% (3)</w:t>
            </w:r>
          </w:p>
        </w:tc>
      </w:tr>
      <w:tr w:rsidR="002172D2" w14:paraId="7E36A1AB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F8698B2" w14:textId="77777777" w:rsidR="002172D2" w:rsidRDefault="002172D2" w:rsidP="0059285A">
            <w:r>
              <w:t xml:space="preserve">     12</w:t>
            </w:r>
            <w:r w:rsidRPr="008A7AE6">
              <w:rPr>
                <w:vertAlign w:val="superscript"/>
              </w:rPr>
              <w:t>th</w:t>
            </w:r>
            <w:r>
              <w:t xml:space="preserve"> grade, with diploma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99CC4CC" w14:textId="77777777" w:rsidR="002172D2" w:rsidRDefault="002172D2" w:rsidP="0059285A">
            <w:r>
              <w:t>30% (30)</w:t>
            </w:r>
          </w:p>
        </w:tc>
      </w:tr>
      <w:tr w:rsidR="002172D2" w14:paraId="7F5B47E1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0E51BFA" w14:textId="77777777" w:rsidR="002172D2" w:rsidRDefault="002172D2" w:rsidP="0059285A">
            <w:r>
              <w:t xml:space="preserve">     Some college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406F0D3A" w14:textId="77777777" w:rsidR="002172D2" w:rsidRDefault="002172D2" w:rsidP="0059285A">
            <w:r>
              <w:t>18% (18)</w:t>
            </w:r>
          </w:p>
        </w:tc>
      </w:tr>
      <w:tr w:rsidR="002172D2" w14:paraId="33DE11D8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BE16C76" w14:textId="77777777" w:rsidR="002172D2" w:rsidRDefault="002172D2" w:rsidP="0059285A">
            <w:r>
              <w:t xml:space="preserve">     Bachelor’s degree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420AD018" w14:textId="77777777" w:rsidR="002172D2" w:rsidRDefault="002172D2" w:rsidP="0059285A">
            <w:r>
              <w:t>30% (30)</w:t>
            </w:r>
          </w:p>
        </w:tc>
      </w:tr>
      <w:tr w:rsidR="002172D2" w14:paraId="3C2FE9C2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695F5F3D" w14:textId="77777777" w:rsidR="002172D2" w:rsidRDefault="002172D2" w:rsidP="0059285A">
            <w:r>
              <w:t xml:space="preserve">     Post Graduate degree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AD583DA" w14:textId="77777777" w:rsidR="002172D2" w:rsidRDefault="002172D2" w:rsidP="0059285A">
            <w:r>
              <w:t>18% (18)</w:t>
            </w:r>
          </w:p>
        </w:tc>
      </w:tr>
      <w:tr w:rsidR="002172D2" w14:paraId="7B6997B7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5278DB9" w14:textId="77777777" w:rsidR="002172D2" w:rsidRDefault="002172D2" w:rsidP="0059285A">
            <w:r>
              <w:t xml:space="preserve">     Declined to answer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974A84F" w14:textId="77777777" w:rsidR="002172D2" w:rsidRDefault="002172D2" w:rsidP="0059285A">
            <w:r>
              <w:t>1% (1)</w:t>
            </w:r>
          </w:p>
        </w:tc>
      </w:tr>
      <w:tr w:rsidR="002172D2" w14:paraId="44966D7C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CEE5074" w14:textId="77777777" w:rsidR="002172D2" w:rsidRDefault="002172D2" w:rsidP="0059285A">
            <w:pPr>
              <w:rPr>
                <w:b/>
              </w:rPr>
            </w:pPr>
            <w:r>
              <w:rPr>
                <w:b/>
              </w:rPr>
              <w:t>Encounter Type*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D91271D" w14:textId="77777777" w:rsidR="002172D2" w:rsidRDefault="002172D2" w:rsidP="0059285A"/>
        </w:tc>
      </w:tr>
      <w:tr w:rsidR="002172D2" w14:paraId="3DD43DDA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9F301E4" w14:textId="77777777" w:rsidR="002172D2" w:rsidRPr="00E7154F" w:rsidRDefault="002172D2" w:rsidP="0059285A">
            <w:r>
              <w:t xml:space="preserve">     New patient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A9C6B7B" w14:textId="77777777" w:rsidR="002172D2" w:rsidRDefault="002172D2" w:rsidP="0059285A">
            <w:r>
              <w:t>6% (6)</w:t>
            </w:r>
          </w:p>
        </w:tc>
      </w:tr>
      <w:tr w:rsidR="002172D2" w14:paraId="7C7A0DA3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255AAD1" w14:textId="77777777" w:rsidR="002172D2" w:rsidRDefault="002172D2" w:rsidP="0059285A">
            <w:r>
              <w:t xml:space="preserve">     Return patient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B86C680" w14:textId="77777777" w:rsidR="002172D2" w:rsidRDefault="002172D2" w:rsidP="0059285A">
            <w:r>
              <w:t>94% (94)</w:t>
            </w:r>
          </w:p>
        </w:tc>
      </w:tr>
      <w:tr w:rsidR="002172D2" w14:paraId="08FD2617" w14:textId="77777777" w:rsidTr="0059285A">
        <w:trPr>
          <w:trHeight w:val="161"/>
        </w:trPr>
        <w:tc>
          <w:tcPr>
            <w:tcW w:w="3561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16A3134" w14:textId="77777777" w:rsidR="002172D2" w:rsidRDefault="002172D2" w:rsidP="0059285A">
            <w:r>
              <w:t xml:space="preserve">          Regular follow up</w:t>
            </w:r>
          </w:p>
        </w:tc>
        <w:tc>
          <w:tcPr>
            <w:tcW w:w="2693" w:type="dxa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11EE9600" w14:textId="77777777" w:rsidR="002172D2" w:rsidRDefault="002172D2" w:rsidP="0059285A">
            <w:r>
              <w:t>7% (7)</w:t>
            </w:r>
          </w:p>
        </w:tc>
      </w:tr>
      <w:tr w:rsidR="002172D2" w14:paraId="5C04E43C" w14:textId="77777777" w:rsidTr="0059285A">
        <w:trPr>
          <w:trHeight w:val="161"/>
        </w:trPr>
        <w:tc>
          <w:tcPr>
            <w:tcW w:w="3561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2AAFAA6" w14:textId="77777777" w:rsidR="002172D2" w:rsidRDefault="002172D2" w:rsidP="0059285A">
            <w:r>
              <w:t xml:space="preserve">          Pre-operative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45E9849" w14:textId="77777777" w:rsidR="002172D2" w:rsidRDefault="002172D2" w:rsidP="0059285A">
            <w:r>
              <w:t>6% (6)</w:t>
            </w:r>
          </w:p>
        </w:tc>
      </w:tr>
      <w:tr w:rsidR="002172D2" w14:paraId="201C35E3" w14:textId="77777777" w:rsidTr="0059285A">
        <w:trPr>
          <w:trHeight w:val="161"/>
        </w:trPr>
        <w:tc>
          <w:tcPr>
            <w:tcW w:w="3561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42B4C915" w14:textId="77777777" w:rsidR="002172D2" w:rsidRPr="00E7154F" w:rsidRDefault="002172D2" w:rsidP="0059285A">
            <w:pPr>
              <w:rPr>
                <w:bCs/>
              </w:rPr>
            </w:pPr>
            <w:r>
              <w:rPr>
                <w:b/>
              </w:rPr>
              <w:t xml:space="preserve">          </w:t>
            </w:r>
            <w:r>
              <w:rPr>
                <w:bCs/>
              </w:rPr>
              <w:t>Post-operative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C930B10" w14:textId="77777777" w:rsidR="002172D2" w:rsidRDefault="002172D2" w:rsidP="0059285A">
            <w:r>
              <w:t>30% (30)</w:t>
            </w:r>
          </w:p>
        </w:tc>
      </w:tr>
      <w:tr w:rsidR="002172D2" w14:paraId="7D714522" w14:textId="77777777" w:rsidTr="0059285A">
        <w:trPr>
          <w:trHeight w:val="161"/>
        </w:trPr>
        <w:tc>
          <w:tcPr>
            <w:tcW w:w="3561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54C0D78" w14:textId="77777777" w:rsidR="002172D2" w:rsidRDefault="002172D2" w:rsidP="0059285A">
            <w:pPr>
              <w:rPr>
                <w:b/>
              </w:rPr>
            </w:pPr>
            <w:r>
              <w:t xml:space="preserve">          Oncologic Surveillance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1ADA3CB" w14:textId="77777777" w:rsidR="002172D2" w:rsidRDefault="002172D2" w:rsidP="0059285A">
            <w:r>
              <w:t>51% (51)</w:t>
            </w:r>
          </w:p>
        </w:tc>
      </w:tr>
      <w:tr w:rsidR="002172D2" w14:paraId="25395CBA" w14:textId="77777777" w:rsidTr="0059285A">
        <w:trPr>
          <w:trHeight w:val="161"/>
        </w:trPr>
        <w:tc>
          <w:tcPr>
            <w:tcW w:w="3561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D7637DD" w14:textId="77777777" w:rsidR="002172D2" w:rsidRPr="001A470F" w:rsidRDefault="002172D2" w:rsidP="0059285A">
            <w:pPr>
              <w:rPr>
                <w:b/>
                <w:bCs/>
              </w:rPr>
            </w:pPr>
            <w:r>
              <w:rPr>
                <w:b/>
                <w:bCs/>
              </w:rPr>
              <w:t>Device Used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B4A1CA3" w14:textId="77777777" w:rsidR="002172D2" w:rsidRDefault="002172D2" w:rsidP="0059285A"/>
        </w:tc>
      </w:tr>
      <w:tr w:rsidR="002172D2" w14:paraId="17E40E74" w14:textId="77777777" w:rsidTr="0059285A">
        <w:trPr>
          <w:trHeight w:val="161"/>
        </w:trPr>
        <w:tc>
          <w:tcPr>
            <w:tcW w:w="3561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4A7184D" w14:textId="77777777" w:rsidR="002172D2" w:rsidRPr="001A470F" w:rsidRDefault="002172D2" w:rsidP="0059285A">
            <w:r>
              <w:t xml:space="preserve">     Smartphone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395BF573" w14:textId="77777777" w:rsidR="002172D2" w:rsidRDefault="002172D2" w:rsidP="0059285A">
            <w:r>
              <w:t>78% (78)</w:t>
            </w:r>
          </w:p>
        </w:tc>
      </w:tr>
      <w:tr w:rsidR="002172D2" w14:paraId="2408F696" w14:textId="77777777" w:rsidTr="0059285A">
        <w:trPr>
          <w:trHeight w:val="161"/>
        </w:trPr>
        <w:tc>
          <w:tcPr>
            <w:tcW w:w="3561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30B2B2B" w14:textId="77777777" w:rsidR="002172D2" w:rsidRDefault="002172D2" w:rsidP="0059285A">
            <w:r>
              <w:t xml:space="preserve">     Tablet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7E83DED8" w14:textId="77777777" w:rsidR="002172D2" w:rsidRDefault="002172D2" w:rsidP="0059285A">
            <w:r>
              <w:t>7% (7)</w:t>
            </w:r>
          </w:p>
        </w:tc>
      </w:tr>
      <w:tr w:rsidR="002172D2" w14:paraId="020036BC" w14:textId="77777777" w:rsidTr="0059285A">
        <w:trPr>
          <w:trHeight w:val="161"/>
        </w:trPr>
        <w:tc>
          <w:tcPr>
            <w:tcW w:w="3561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6E8A48C" w14:textId="77777777" w:rsidR="002172D2" w:rsidRDefault="002172D2" w:rsidP="0059285A">
            <w:r>
              <w:t xml:space="preserve">     Laptop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25FD5059" w14:textId="77777777" w:rsidR="002172D2" w:rsidRDefault="002172D2" w:rsidP="0059285A">
            <w:r>
              <w:t>13% (13)</w:t>
            </w:r>
          </w:p>
        </w:tc>
      </w:tr>
      <w:tr w:rsidR="002172D2" w14:paraId="670579E9" w14:textId="77777777" w:rsidTr="0059285A">
        <w:trPr>
          <w:trHeight w:val="161"/>
        </w:trPr>
        <w:tc>
          <w:tcPr>
            <w:tcW w:w="3561" w:type="dxa"/>
            <w:tcBorders>
              <w:top w:val="nil"/>
              <w:bottom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D4079F3" w14:textId="77777777" w:rsidR="002172D2" w:rsidRDefault="002172D2" w:rsidP="0059285A">
            <w:r>
              <w:t xml:space="preserve">     Desktop</w:t>
            </w:r>
          </w:p>
        </w:tc>
        <w:tc>
          <w:tcPr>
            <w:tcW w:w="2693" w:type="dxa"/>
            <w:tcBorders>
              <w:top w:val="nil"/>
              <w:bottom w:val="single" w:sz="4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0D934D34" w14:textId="77777777" w:rsidR="002172D2" w:rsidRDefault="002172D2" w:rsidP="0059285A">
            <w:r>
              <w:t>2% (2)</w:t>
            </w:r>
          </w:p>
        </w:tc>
      </w:tr>
      <w:tr w:rsidR="002172D2" w14:paraId="5926A754" w14:textId="77777777" w:rsidTr="0059285A">
        <w:trPr>
          <w:trHeight w:val="1144"/>
        </w:trPr>
        <w:tc>
          <w:tcPr>
            <w:tcW w:w="6254" w:type="dxa"/>
            <w:gridSpan w:val="2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14:paraId="5822DE6C" w14:textId="77777777" w:rsidR="002172D2" w:rsidRDefault="002172D2" w:rsidP="0059285A">
            <w:r>
              <w:t xml:space="preserve">* </w:t>
            </w:r>
            <w:r>
              <w:rPr>
                <w:rFonts w:ascii="Arial" w:hAnsi="Arial" w:cs="Arial"/>
                <w:color w:val="1C1D1E"/>
                <w:sz w:val="21"/>
                <w:szCs w:val="21"/>
                <w:shd w:val="clear" w:color="auto" w:fill="FFFFFF"/>
              </w:rPr>
              <w:t>V</w:t>
            </w:r>
            <w:r w:rsidRPr="0038477F">
              <w:rPr>
                <w:color w:val="000000"/>
              </w:rPr>
              <w:t xml:space="preserve">isits were classified as new patient visits, </w:t>
            </w:r>
            <w:r>
              <w:rPr>
                <w:color w:val="000000"/>
              </w:rPr>
              <w:t>regular follow up (non-oncologic or non-operative)</w:t>
            </w:r>
            <w:r w:rsidRPr="0038477F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pre-operative discussions,</w:t>
            </w:r>
            <w:r w:rsidRPr="0038477F">
              <w:rPr>
                <w:color w:val="000000"/>
              </w:rPr>
              <w:t xml:space="preserve"> post-operative visits</w:t>
            </w:r>
            <w:r>
              <w:rPr>
                <w:color w:val="000000"/>
              </w:rPr>
              <w:t xml:space="preserve"> (visits within 90 days of surgery)</w:t>
            </w:r>
            <w:r w:rsidRPr="0038477F">
              <w:rPr>
                <w:color w:val="000000"/>
              </w:rPr>
              <w:t>, and oncologic surveillance.</w:t>
            </w:r>
          </w:p>
          <w:p w14:paraId="4CBBBBF6" w14:textId="77777777" w:rsidR="002172D2" w:rsidRDefault="002172D2" w:rsidP="0059285A"/>
        </w:tc>
      </w:tr>
    </w:tbl>
    <w:p w14:paraId="3C6DC35C" w14:textId="77777777" w:rsidR="007C57CF" w:rsidRDefault="000253E3" w:rsidP="002172D2"/>
    <w:sectPr w:rsidR="007C57CF" w:rsidSect="00506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B0"/>
    <w:rsid w:val="00000821"/>
    <w:rsid w:val="00005FA7"/>
    <w:rsid w:val="000253E3"/>
    <w:rsid w:val="000273C0"/>
    <w:rsid w:val="00027CA9"/>
    <w:rsid w:val="00032823"/>
    <w:rsid w:val="0005343B"/>
    <w:rsid w:val="00067E36"/>
    <w:rsid w:val="00085C35"/>
    <w:rsid w:val="000B0C1D"/>
    <w:rsid w:val="000C4BD8"/>
    <w:rsid w:val="000E2FFE"/>
    <w:rsid w:val="00101BF4"/>
    <w:rsid w:val="0013055A"/>
    <w:rsid w:val="00154546"/>
    <w:rsid w:val="00162B0E"/>
    <w:rsid w:val="00181CAC"/>
    <w:rsid w:val="00183896"/>
    <w:rsid w:val="001838B8"/>
    <w:rsid w:val="001A036C"/>
    <w:rsid w:val="001A6EAB"/>
    <w:rsid w:val="001B5CBB"/>
    <w:rsid w:val="001B7759"/>
    <w:rsid w:val="001E412C"/>
    <w:rsid w:val="00201C22"/>
    <w:rsid w:val="00204F27"/>
    <w:rsid w:val="0021708C"/>
    <w:rsid w:val="002172D2"/>
    <w:rsid w:val="00242F82"/>
    <w:rsid w:val="0027502E"/>
    <w:rsid w:val="002C09C1"/>
    <w:rsid w:val="002C43F4"/>
    <w:rsid w:val="002C6011"/>
    <w:rsid w:val="002E42EF"/>
    <w:rsid w:val="0032231E"/>
    <w:rsid w:val="00323335"/>
    <w:rsid w:val="003373EC"/>
    <w:rsid w:val="00341BA9"/>
    <w:rsid w:val="00357AE0"/>
    <w:rsid w:val="00370301"/>
    <w:rsid w:val="003771A9"/>
    <w:rsid w:val="0038251D"/>
    <w:rsid w:val="003A3A69"/>
    <w:rsid w:val="003B1DF2"/>
    <w:rsid w:val="003B52A7"/>
    <w:rsid w:val="003C0C23"/>
    <w:rsid w:val="003C37BA"/>
    <w:rsid w:val="003E2EA3"/>
    <w:rsid w:val="00401C58"/>
    <w:rsid w:val="0040362F"/>
    <w:rsid w:val="00411285"/>
    <w:rsid w:val="00425016"/>
    <w:rsid w:val="004930A6"/>
    <w:rsid w:val="004B5CFB"/>
    <w:rsid w:val="004C4420"/>
    <w:rsid w:val="004D2FB8"/>
    <w:rsid w:val="004D75D9"/>
    <w:rsid w:val="00505B9D"/>
    <w:rsid w:val="00506EBE"/>
    <w:rsid w:val="005372B6"/>
    <w:rsid w:val="00547211"/>
    <w:rsid w:val="00552D06"/>
    <w:rsid w:val="0056161B"/>
    <w:rsid w:val="00577B9D"/>
    <w:rsid w:val="005912FF"/>
    <w:rsid w:val="00592455"/>
    <w:rsid w:val="00596C69"/>
    <w:rsid w:val="005E3A7B"/>
    <w:rsid w:val="005F01B0"/>
    <w:rsid w:val="005F27C8"/>
    <w:rsid w:val="00602F01"/>
    <w:rsid w:val="006127C8"/>
    <w:rsid w:val="006215C5"/>
    <w:rsid w:val="00622497"/>
    <w:rsid w:val="00630500"/>
    <w:rsid w:val="006323EB"/>
    <w:rsid w:val="0064137D"/>
    <w:rsid w:val="00641669"/>
    <w:rsid w:val="00642B49"/>
    <w:rsid w:val="00663DDB"/>
    <w:rsid w:val="00674000"/>
    <w:rsid w:val="00685288"/>
    <w:rsid w:val="006A0DD9"/>
    <w:rsid w:val="006A12AE"/>
    <w:rsid w:val="006A7024"/>
    <w:rsid w:val="006E20D7"/>
    <w:rsid w:val="006E380D"/>
    <w:rsid w:val="006F24B1"/>
    <w:rsid w:val="00700E07"/>
    <w:rsid w:val="00767869"/>
    <w:rsid w:val="00773523"/>
    <w:rsid w:val="007B339A"/>
    <w:rsid w:val="007B6B67"/>
    <w:rsid w:val="007D13AC"/>
    <w:rsid w:val="007D72B4"/>
    <w:rsid w:val="008256C7"/>
    <w:rsid w:val="008723CF"/>
    <w:rsid w:val="008B55B5"/>
    <w:rsid w:val="00900F4C"/>
    <w:rsid w:val="00913676"/>
    <w:rsid w:val="00925E50"/>
    <w:rsid w:val="009279E0"/>
    <w:rsid w:val="00955230"/>
    <w:rsid w:val="00962AB6"/>
    <w:rsid w:val="00973F4D"/>
    <w:rsid w:val="00976863"/>
    <w:rsid w:val="00992C91"/>
    <w:rsid w:val="009A2A9F"/>
    <w:rsid w:val="009B69AA"/>
    <w:rsid w:val="009B76FE"/>
    <w:rsid w:val="009C6A2B"/>
    <w:rsid w:val="009E2650"/>
    <w:rsid w:val="009E35DE"/>
    <w:rsid w:val="009E4272"/>
    <w:rsid w:val="00A31BB3"/>
    <w:rsid w:val="00A5287B"/>
    <w:rsid w:val="00A90F82"/>
    <w:rsid w:val="00AE5B56"/>
    <w:rsid w:val="00AF28F4"/>
    <w:rsid w:val="00B04794"/>
    <w:rsid w:val="00B31DA4"/>
    <w:rsid w:val="00B413EC"/>
    <w:rsid w:val="00B91D6E"/>
    <w:rsid w:val="00BA5AF5"/>
    <w:rsid w:val="00BB6DF7"/>
    <w:rsid w:val="00BC2066"/>
    <w:rsid w:val="00BD21B7"/>
    <w:rsid w:val="00BF1A62"/>
    <w:rsid w:val="00BF6B8A"/>
    <w:rsid w:val="00C173AE"/>
    <w:rsid w:val="00C301D3"/>
    <w:rsid w:val="00C43360"/>
    <w:rsid w:val="00C5128D"/>
    <w:rsid w:val="00C675A0"/>
    <w:rsid w:val="00C957B0"/>
    <w:rsid w:val="00CE2086"/>
    <w:rsid w:val="00CF1370"/>
    <w:rsid w:val="00D528B6"/>
    <w:rsid w:val="00DA418E"/>
    <w:rsid w:val="00DE5E12"/>
    <w:rsid w:val="00E23809"/>
    <w:rsid w:val="00E32F18"/>
    <w:rsid w:val="00E332F6"/>
    <w:rsid w:val="00E41B41"/>
    <w:rsid w:val="00E7119E"/>
    <w:rsid w:val="00E73CE9"/>
    <w:rsid w:val="00E803D6"/>
    <w:rsid w:val="00EB1B4B"/>
    <w:rsid w:val="00EE58E4"/>
    <w:rsid w:val="00EF6036"/>
    <w:rsid w:val="00F1556E"/>
    <w:rsid w:val="00F33EB1"/>
    <w:rsid w:val="00FC3B9B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9C347"/>
  <w14:defaultImageDpi w14:val="32767"/>
  <w15:chartTrackingRefBased/>
  <w15:docId w15:val="{CC4A6F68-01BC-1E42-B21D-64534D3F8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7B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57B0"/>
    <w:pPr>
      <w:keepNext/>
      <w:outlineLvl w:val="0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57B0"/>
    <w:rPr>
      <w:rFonts w:ascii="Times New Roman" w:eastAsia="Times New Roman" w:hAnsi="Times New Roman" w:cs="Times New Roman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Rajasekaran, Karthik</dc:creator>
  <cp:keywords/>
  <dc:description/>
  <cp:lastModifiedBy>Bell,Anita L</cp:lastModifiedBy>
  <cp:revision>2</cp:revision>
  <dcterms:created xsi:type="dcterms:W3CDTF">2020-05-11T14:58:00Z</dcterms:created>
  <dcterms:modified xsi:type="dcterms:W3CDTF">2020-05-11T14:58:00Z</dcterms:modified>
</cp:coreProperties>
</file>