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09A" w:rsidRPr="0055170C" w:rsidRDefault="0037009A" w:rsidP="00EB009F">
      <w:pPr>
        <w:jc w:val="center"/>
        <w:rPr>
          <w:rFonts w:ascii="Tahoma" w:hAnsi="Tahoma" w:cs="Tahoma"/>
          <w:b/>
          <w:szCs w:val="20"/>
          <w:lang w:val="en-US"/>
        </w:rPr>
      </w:pPr>
      <w:r w:rsidRPr="0055170C">
        <w:rPr>
          <w:rFonts w:ascii="Tahoma" w:hAnsi="Tahoma" w:cs="Tahoma"/>
          <w:b/>
          <w:szCs w:val="20"/>
          <w:lang w:val="en-US"/>
        </w:rPr>
        <w:t>Fig</w:t>
      </w:r>
      <w:r w:rsidR="00322D99" w:rsidRPr="0055170C">
        <w:rPr>
          <w:rFonts w:ascii="Tahoma" w:hAnsi="Tahoma" w:cs="Tahoma"/>
          <w:b/>
          <w:szCs w:val="20"/>
          <w:lang w:val="en-US"/>
        </w:rPr>
        <w:t xml:space="preserve">ure </w:t>
      </w:r>
      <w:r w:rsidRPr="0055170C">
        <w:rPr>
          <w:rFonts w:ascii="Tahoma" w:hAnsi="Tahoma" w:cs="Tahoma"/>
          <w:b/>
          <w:szCs w:val="20"/>
          <w:lang w:val="en-US"/>
        </w:rPr>
        <w:t>1 :Flow chart</w:t>
      </w:r>
      <w:r w:rsidR="009961C9" w:rsidRPr="0055170C">
        <w:rPr>
          <w:rFonts w:ascii="Tahoma" w:hAnsi="Tahoma" w:cs="Tahoma"/>
          <w:b/>
          <w:szCs w:val="20"/>
          <w:lang w:val="en-US"/>
        </w:rPr>
        <w:t>s of patients included in the study</w:t>
      </w:r>
    </w:p>
    <w:p w:rsidR="00D242EC" w:rsidRPr="004B3042" w:rsidRDefault="004B3042" w:rsidP="004B3042">
      <w:pPr>
        <w:pStyle w:val="Paragraphedeliste"/>
        <w:numPr>
          <w:ilvl w:val="0"/>
          <w:numId w:val="1"/>
        </w:numPr>
        <w:rPr>
          <w:rFonts w:ascii="Tahoma" w:hAnsi="Tahoma" w:cs="Tahoma"/>
          <w:b/>
          <w:bCs/>
          <w:sz w:val="20"/>
          <w:szCs w:val="20"/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>I</w:t>
      </w:r>
      <w:r w:rsidRPr="004B3042">
        <w:rPr>
          <w:rFonts w:ascii="Tahoma" w:hAnsi="Tahoma" w:cs="Tahoma"/>
          <w:b/>
          <w:bCs/>
          <w:sz w:val="20"/>
          <w:szCs w:val="20"/>
          <w:lang w:val="en-US"/>
        </w:rPr>
        <w:t xml:space="preserve">ncluded </w:t>
      </w:r>
      <w:r>
        <w:rPr>
          <w:rFonts w:ascii="Tahoma" w:hAnsi="Tahoma" w:cs="Tahoma"/>
          <w:b/>
          <w:bCs/>
          <w:sz w:val="20"/>
          <w:szCs w:val="20"/>
          <w:lang w:val="en-US"/>
        </w:rPr>
        <w:t>p</w:t>
      </w:r>
      <w:r w:rsidR="00D242EC" w:rsidRPr="004B3042">
        <w:rPr>
          <w:rFonts w:ascii="Tahoma" w:hAnsi="Tahoma" w:cs="Tahoma"/>
          <w:b/>
          <w:bCs/>
          <w:sz w:val="20"/>
          <w:szCs w:val="20"/>
          <w:lang w:val="en-US"/>
        </w:rPr>
        <w:t xml:space="preserve">atients in the </w:t>
      </w:r>
      <w:r>
        <w:rPr>
          <w:rFonts w:ascii="Tahoma" w:hAnsi="Tahoma" w:cs="Tahoma"/>
          <w:b/>
          <w:bCs/>
          <w:sz w:val="20"/>
          <w:szCs w:val="20"/>
          <w:lang w:val="en-US"/>
        </w:rPr>
        <w:t>evaluation o</w:t>
      </w:r>
      <w:r w:rsidR="00322D99" w:rsidRPr="004B3042">
        <w:rPr>
          <w:rFonts w:ascii="Tahoma" w:hAnsi="Tahoma" w:cs="Tahoma"/>
          <w:b/>
          <w:bCs/>
          <w:sz w:val="20"/>
          <w:szCs w:val="20"/>
          <w:lang w:val="en-US"/>
        </w:rPr>
        <w:t>f the impact of</w:t>
      </w:r>
      <w:r w:rsidR="00D242EC" w:rsidRPr="004B3042">
        <w:rPr>
          <w:rFonts w:ascii="Tahoma" w:hAnsi="Tahoma" w:cs="Tahoma"/>
          <w:b/>
          <w:bCs/>
          <w:sz w:val="20"/>
          <w:szCs w:val="20"/>
          <w:lang w:val="en-US"/>
        </w:rPr>
        <w:t xml:space="preserve"> demographic and clinical characteristics on the risk of recurrence</w:t>
      </w:r>
    </w:p>
    <w:p w:rsidR="0037009A" w:rsidRPr="003E3B6C" w:rsidRDefault="00000C62" w:rsidP="000D593D">
      <w:pPr>
        <w:rPr>
          <w:rFonts w:ascii="Tahoma" w:hAnsi="Tahoma" w:cs="Tahoma"/>
          <w:sz w:val="20"/>
          <w:szCs w:val="20"/>
          <w:lang w:val="en-US"/>
        </w:rPr>
      </w:pPr>
      <w:r w:rsidRPr="00000C62">
        <w:rPr>
          <w:rFonts w:ascii="Tahoma" w:hAnsi="Tahoma" w:cs="Tahoma"/>
          <w:noProof/>
          <w:sz w:val="20"/>
          <w:szCs w:val="2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-20.25pt;margin-top:653.75pt;width:180.65pt;height:33.4pt;z-index:251693056;mso-width-percent:400;mso-height-percent:200;mso-width-percent:400;mso-height-percent:200;mso-width-relative:margin;mso-height-relative:margin">
            <v:textbox style="mso-fit-shape-to-text:t">
              <w:txbxContent>
                <w:p w:rsidR="008C19E6" w:rsidRPr="008C19E6" w:rsidRDefault="008C19E6" w:rsidP="008C19E6">
                  <w:pPr>
                    <w:rPr>
                      <w:lang w:val="en-US"/>
                    </w:rPr>
                  </w:pPr>
                  <w:r>
                    <w:t>10 patients had recurrent VTE</w:t>
                  </w:r>
                </w:p>
              </w:txbxContent>
            </v:textbox>
          </v:shape>
        </w:pict>
      </w:r>
      <w:r w:rsidRPr="00000C62">
        <w:rPr>
          <w:rFonts w:ascii="Tahoma" w:hAnsi="Tahoma" w:cs="Tahoma"/>
          <w:noProof/>
          <w:sz w:val="20"/>
          <w:szCs w:val="20"/>
          <w:lang w:val="en-US" w:eastAsia="zh-TW"/>
        </w:rPr>
        <w:pict>
          <v:shape id="_x0000_s1058" type="#_x0000_t202" style="position:absolute;margin-left:290.25pt;margin-top:655.2pt;width:180.6pt;height:33.4pt;z-index:251691008;mso-width-percent:400;mso-height-percent:200;mso-width-percent:400;mso-height-percent:200;mso-width-relative:margin;mso-height-relative:margin">
            <v:textbox style="mso-next-textbox:#_x0000_s1058;mso-fit-shape-to-text:t">
              <w:txbxContent>
                <w:p w:rsidR="003C4884" w:rsidRPr="003C4884" w:rsidRDefault="003C4884" w:rsidP="003C4884">
                  <w:pPr>
                    <w:rPr>
                      <w:lang w:val="en-US"/>
                    </w:rPr>
                  </w:pPr>
                  <w:r>
                    <w:t>6 patients had recurrent VTE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7" type="#_x0000_t67" style="position:absolute;margin-left:52.9pt;margin-top:615.7pt;width:28.5pt;height:38.05pt;z-index:251688960">
            <v:textbox style="layout-flow:vertical-ideographic"/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56" type="#_x0000_t67" style="position:absolute;margin-left:357.4pt;margin-top:617.2pt;width:28.5pt;height:38.05pt;z-index:251687936">
            <v:textbox style="layout-flow:vertical-ideographic"/>
          </v:shape>
        </w:pict>
      </w:r>
      <w:r w:rsidRPr="00000C62">
        <w:rPr>
          <w:rFonts w:ascii="Tahoma" w:hAnsi="Tahoma" w:cs="Tahoma"/>
          <w:noProof/>
          <w:sz w:val="20"/>
          <w:szCs w:val="20"/>
          <w:lang w:val="en-US" w:eastAsia="zh-TW"/>
        </w:rPr>
        <w:pict>
          <v:shape id="_x0000_s1055" type="#_x0000_t202" style="position:absolute;margin-left:-20.15pt;margin-top:581.8pt;width:180.65pt;height:33.4pt;z-index:251686912;mso-width-percent:400;mso-height-percent:200;mso-width-percent:400;mso-height-percent:200;mso-width-relative:margin;mso-height-relative:margin">
            <v:textbox style="mso-next-textbox:#_x0000_s1055;mso-fit-shape-to-text:t">
              <w:txbxContent>
                <w:p w:rsidR="003C4884" w:rsidRPr="003C4884" w:rsidRDefault="003C4884" w:rsidP="003C488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65 patients without IT abnormality</w:t>
                  </w:r>
                </w:p>
              </w:txbxContent>
            </v:textbox>
          </v:shape>
        </w:pict>
      </w:r>
      <w:r w:rsidRPr="00000C62">
        <w:rPr>
          <w:rFonts w:ascii="Tahoma" w:hAnsi="Tahoma" w:cs="Tahoma"/>
          <w:noProof/>
          <w:sz w:val="20"/>
          <w:szCs w:val="20"/>
          <w:lang w:val="en-US" w:eastAsia="zh-TW"/>
        </w:rPr>
        <w:pict>
          <v:shape id="_x0000_s1053" type="#_x0000_t202" style="position:absolute;margin-left:287.35pt;margin-top:583.25pt;width:180.6pt;height:33.4pt;z-index:251683840;mso-width-percent:400;mso-height-percent:200;mso-width-percent:400;mso-height-percent:200;mso-width-relative:margin;mso-height-relative:margin">
            <v:textbox style="mso-next-textbox:#_x0000_s1053;mso-fit-shape-to-text:t">
              <w:txbxContent>
                <w:p w:rsidR="003C4884" w:rsidRPr="003C4884" w:rsidRDefault="003C4884" w:rsidP="003C488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29 patients had IT abnormality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type id="_x0000_t182" coordsize="21600,21600" o:spt="182" adj="6480,8640,6171" path="m10800,l@0@2@1@2@1@6@7@6@7@5,0@8@7,21600@7@9@10@9@10,21600,21600@8@10@5@10@6@4@6@4@2@3@2xe">
            <v:stroke joinstyle="miter"/>
            <v:formulas>
              <v:f eqn="val #0"/>
              <v:f eqn="val #1"/>
              <v:f eqn="val #2"/>
              <v:f eqn="sum 21600 0 #0"/>
              <v:f eqn="sum 21600 0 #1"/>
              <v:f eqn="prod @0 21600 @3"/>
              <v:f eqn="prod @1 21600 @3"/>
              <v:f eqn="prod @2 @3 21600"/>
              <v:f eqn="prod 10800 21600 @3"/>
              <v:f eqn="prod @4 21600 @3"/>
              <v:f eqn="sum 21600 0 @7"/>
              <v:f eqn="sum @5 0 @8"/>
              <v:f eqn="sum @6 0 @8"/>
              <v:f eqn="prod @12 @7 @11"/>
              <v:f eqn="sum 21600 0 @13"/>
              <v:f eqn="sum @0 0 10800"/>
              <v:f eqn="sum @1 0 10800"/>
              <v:f eqn="prod @2 @16 @15"/>
            </v:formulas>
            <v:path o:connecttype="custom" o:connectlocs="10800,0;0,@8;10800,@9;21600,@8" o:connectangles="270,180,90,0" textboxrect="@13,@6,@14,@9;@1,@17,@4,@9"/>
            <v:handles>
              <v:h position="#0,topLeft" xrange="@2,@1"/>
              <v:h position="#1,#2" xrange="@0,10800" yrange="0,@5"/>
            </v:handles>
          </v:shapetype>
          <v:shape id="_x0000_s1054" type="#_x0000_t182" style="position:absolute;margin-left:163.95pt;margin-top:574.25pt;width:117.7pt;height:32.25pt;z-index:251684864">
            <v:textbox style="layout-flow:vertical-ideographic"/>
          </v:shape>
        </w:pict>
      </w:r>
      <w:r w:rsidRPr="00000C62">
        <w:rPr>
          <w:rFonts w:ascii="Tahoma" w:hAnsi="Tahoma" w:cs="Tahoma"/>
          <w:noProof/>
          <w:sz w:val="20"/>
          <w:szCs w:val="20"/>
          <w:lang w:val="en-US" w:eastAsia="zh-TW"/>
        </w:rPr>
        <w:pict>
          <v:shape id="_x0000_s1051" type="#_x0000_t202" style="position:absolute;margin-left:132.05pt;margin-top:524pt;width:180.65pt;height:48.85pt;z-index:251680768;mso-width-percent:400;mso-height-percent:200;mso-width-percent:400;mso-height-percent:200;mso-width-relative:margin;mso-height-relative:margin">
            <v:textbox style="mso-next-textbox:#_x0000_s1051;mso-fit-shape-to-text:t">
              <w:txbxContent>
                <w:p w:rsidR="000D593D" w:rsidRPr="000D593D" w:rsidRDefault="003C4884" w:rsidP="000D593D">
                  <w:pPr>
                    <w:rPr>
                      <w:lang w:val="en-US"/>
                    </w:rPr>
                  </w:pPr>
                  <w:r>
                    <w:t>94 patients were appropriately followed up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49" type="#_x0000_t67" style="position:absolute;margin-left:207.4pt;margin-top:485.95pt;width:28.5pt;height:37.05pt;z-index:251678720">
            <v:textbox style="layout-flow:vertical-ideographic"/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48" type="#_x0000_t202" style="position:absolute;margin-left:128.35pt;margin-top:439.9pt;width:180.6pt;height:48.85pt;z-index:251677696;mso-width-percent:400;mso-height-percent:200;mso-width-percent:400;mso-height-percent:200;mso-width-relative:margin;mso-height-relative:margin">
            <v:textbox style="mso-next-textbox:#_x0000_s1048;mso-fit-shape-to-text:t">
              <w:txbxContent>
                <w:p w:rsidR="000D593D" w:rsidRPr="000D593D" w:rsidRDefault="000D593D" w:rsidP="000D593D">
                  <w:pPr>
                    <w:rPr>
                      <w:lang w:val="en-US"/>
                    </w:rPr>
                  </w:pPr>
                  <w:r w:rsidRPr="000D593D">
                    <w:rPr>
                      <w:lang w:val="en-US"/>
                    </w:rPr>
                    <w:t xml:space="preserve">131 patients had </w:t>
                  </w:r>
                  <w:r w:rsidR="00D241CE" w:rsidRPr="000D593D">
                    <w:rPr>
                      <w:lang w:val="en-US"/>
                    </w:rPr>
                    <w:t>complete IT screening tests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47" type="#_x0000_t67" style="position:absolute;margin-left:207.4pt;margin-top:404.95pt;width:28.5pt;height:35.55pt;z-index:251676672">
            <v:textbox style="layout-flow:vertical-ideographic"/>
          </v:shape>
        </w:pict>
      </w:r>
      <w:r w:rsidRPr="00000C62">
        <w:rPr>
          <w:rFonts w:ascii="Tahoma" w:hAnsi="Tahoma" w:cs="Tahoma"/>
          <w:noProof/>
          <w:sz w:val="20"/>
          <w:szCs w:val="20"/>
          <w:lang w:val="en-US" w:eastAsia="zh-TW"/>
        </w:rPr>
        <w:pict>
          <v:shape id="_x0000_s1061" type="#_x0000_t202" style="position:absolute;margin-left:1.5pt;margin-top:328.15pt;width:445.45pt;height:21.6pt;z-index:251695104;mso-width-relative:margin;mso-height-relative:margin" stroked="f">
            <v:textbox>
              <w:txbxContent>
                <w:p w:rsidR="00D242EC" w:rsidRPr="00D242EC" w:rsidRDefault="00D242EC" w:rsidP="00D242EC">
                  <w:pPr>
                    <w:rPr>
                      <w:b/>
                      <w:bCs/>
                      <w:lang w:val="en-US"/>
                    </w:rPr>
                  </w:pPr>
                  <w:r w:rsidRPr="00D242EC">
                    <w:rPr>
                      <w:b/>
                      <w:bCs/>
                      <w:lang w:val="en-US"/>
                    </w:rPr>
                    <w:t>b) Patients included in the stu</w:t>
                  </w:r>
                  <w:r>
                    <w:rPr>
                      <w:b/>
                      <w:bCs/>
                      <w:lang w:val="en-US"/>
                    </w:rPr>
                    <w:t>dy of the imp</w:t>
                  </w:r>
                  <w:r w:rsidRPr="00D242EC">
                    <w:rPr>
                      <w:b/>
                      <w:bCs/>
                      <w:lang w:val="en-US"/>
                    </w:rPr>
                    <w:t>a</w:t>
                  </w:r>
                  <w:r>
                    <w:rPr>
                      <w:b/>
                      <w:bCs/>
                      <w:lang w:val="en-US"/>
                    </w:rPr>
                    <w:t>c</w:t>
                  </w:r>
                  <w:r w:rsidRPr="00D242EC">
                    <w:rPr>
                      <w:b/>
                      <w:bCs/>
                      <w:lang w:val="en-US"/>
                    </w:rPr>
                    <w:t>t of IT screening on the risk of recurrence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46" type="#_x0000_t202" style="position:absolute;margin-left:130.3pt;margin-top:356.05pt;width:180.55pt;height:48.85pt;z-index:251675648;mso-width-percent:400;mso-height-percent:200;mso-width-percent:400;mso-height-percent:200;mso-width-relative:margin;mso-height-relative:margin">
            <v:textbox style="mso-next-textbox:#_x0000_s1046;mso-fit-shape-to-text:t">
              <w:txbxContent>
                <w:p w:rsidR="000D593D" w:rsidRPr="003E3B6C" w:rsidRDefault="000D593D" w:rsidP="000D593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190 patients with complete clinical findings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44" type="#_x0000_t182" style="position:absolute;margin-left:186.4pt;margin-top:257pt;width:69pt;height:51.4pt;z-index:251673600">
            <v:textbox style="layout-flow:vertical-ideographic"/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35" type="#_x0000_t67" style="position:absolute;margin-left:206.65pt;margin-top:160.45pt;width:28.5pt;height:46.3pt;z-index:251668480">
            <v:textbox style="layout-flow:vertical-ideographic"/>
          </v:shape>
        </w:pict>
      </w:r>
      <w:r w:rsidRPr="00000C62">
        <w:rPr>
          <w:rFonts w:ascii="Tahoma" w:hAnsi="Tahoma" w:cs="Tahoma"/>
          <w:noProof/>
          <w:sz w:val="20"/>
          <w:szCs w:val="20"/>
          <w:lang w:val="en-US" w:eastAsia="zh-TW"/>
        </w:rPr>
        <w:pict>
          <v:shape id="_x0000_s1037" type="#_x0000_t202" style="position:absolute;margin-left:130.5pt;margin-top:206.05pt;width:180.6pt;height:48.85pt;z-index:251670528;mso-width-percent:400;mso-height-percent:200;mso-width-percent:400;mso-height-percent:200;mso-width-relative:margin;mso-height-relative:margin">
            <v:textbox style="mso-next-textbox:#_x0000_s1037;mso-fit-shape-to-text:t">
              <w:txbxContent>
                <w:p w:rsidR="003E3B6C" w:rsidRPr="003E3B6C" w:rsidRDefault="00B91CE7" w:rsidP="00B91CE7">
                  <w:pPr>
                    <w:rPr>
                      <w:lang w:val="en-US"/>
                    </w:rPr>
                  </w:pPr>
                  <w:r w:rsidRPr="000D593D">
                    <w:rPr>
                      <w:lang w:val="en-US"/>
                    </w:rPr>
                    <w:t>124 patients</w:t>
                  </w:r>
                  <w:r w:rsidR="000D593D" w:rsidRPr="000D593D">
                    <w:rPr>
                      <w:lang w:val="en-US"/>
                    </w:rPr>
                    <w:t xml:space="preserve"> were appropriately followed up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30" type="#_x0000_t202" style="position:absolute;margin-left:129.3pt;margin-top:111.15pt;width:180.55pt;height:48.85pt;z-index:251664384;mso-width-percent:400;mso-height-percent:200;mso-width-percent:400;mso-height-percent:200;mso-width-relative:margin;mso-height-relative:margin">
            <v:textbox style="mso-next-textbox:#_x0000_s1030;mso-fit-shape-to-text:t">
              <w:txbxContent>
                <w:p w:rsidR="003E3B6C" w:rsidRPr="003E3B6C" w:rsidRDefault="003E3B6C" w:rsidP="003E3B6C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190 patients</w:t>
                  </w:r>
                  <w:r w:rsidR="00B91CE7">
                    <w:rPr>
                      <w:lang w:val="en-US"/>
                    </w:rPr>
                    <w:t xml:space="preserve"> with complete clinical fin</w:t>
                  </w:r>
                  <w:r w:rsidR="000D593D">
                    <w:rPr>
                      <w:lang w:val="en-US"/>
                    </w:rPr>
                    <w:t>d</w:t>
                  </w:r>
                  <w:r w:rsidR="00B91CE7">
                    <w:rPr>
                      <w:lang w:val="en-US"/>
                    </w:rPr>
                    <w:t>ings</w:t>
                  </w:r>
                </w:p>
              </w:txbxContent>
            </v:textbox>
          </v:shape>
        </w:pict>
      </w:r>
      <w:r w:rsidRPr="00000C62">
        <w:rPr>
          <w:rFonts w:ascii="Tahoma" w:hAnsi="Tahoma" w:cs="Tahoma"/>
          <w:noProof/>
          <w:sz w:val="20"/>
          <w:szCs w:val="20"/>
          <w:lang w:val="en-US" w:eastAsia="zh-TW"/>
        </w:rPr>
        <w:pict>
          <v:shape id="_x0000_s1043" type="#_x0000_t202" style="position:absolute;margin-left:265.95pt;margin-top:271.7pt;width:180.65pt;height:33.4pt;z-index:251672576;mso-width-percent:400;mso-height-percent:200;mso-width-percent:400;mso-height-percent:200;mso-width-relative:margin;mso-height-relative:margin">
            <v:textbox style="mso-next-textbox:#_x0000_s1043;mso-fit-shape-to-text:t">
              <w:txbxContent>
                <w:p w:rsidR="00B91CE7" w:rsidRPr="00B91CE7" w:rsidRDefault="00B91CE7" w:rsidP="00B91CE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26 patients had recurrent VTE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45" type="#_x0000_t202" style="position:absolute;margin-left:-2.85pt;margin-top:270.55pt;width:180.6pt;height:33.4pt;z-index:251674624;mso-width-percent:400;mso-height-percent:200;mso-width-percent:400;mso-height-percent:200;mso-width-relative:margin;mso-height-relative:margin">
            <v:textbox style="mso-next-textbox:#_x0000_s1045;mso-fit-shape-to-text:t">
              <w:txbxContent>
                <w:p w:rsidR="00B91CE7" w:rsidRPr="00B91CE7" w:rsidRDefault="00B91CE7" w:rsidP="00B91CE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98 patients without recurrence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lang w:eastAsia="fr-FR"/>
        </w:rPr>
        <w:pict>
          <v:shape id="_x0000_s1028" type="#_x0000_t67" style="position:absolute;margin-left:205.15pt;margin-top:63.7pt;width:28.5pt;height:46.3pt;z-index:251662336">
            <v:textbox style="layout-flow:vertical-ideographic"/>
          </v:shape>
        </w:pict>
      </w:r>
      <w:r>
        <w:rPr>
          <w:rFonts w:ascii="Tahoma" w:hAnsi="Tahoma" w:cs="Tahoma"/>
          <w:noProof/>
          <w:sz w:val="20"/>
          <w:szCs w:val="20"/>
        </w:rPr>
        <w:pict>
          <v:shape id="_x0000_s1026" type="#_x0000_t202" style="position:absolute;margin-left:129.85pt;margin-top:14.35pt;width:180.5pt;height:33.4pt;z-index:251660288;mso-width-percent:400;mso-height-percent:200;mso-width-percent:400;mso-height-percent:200;mso-width-relative:margin;mso-height-relative:margin">
            <v:textbox style="mso-next-textbox:#_x0000_s1026;mso-fit-shape-to-text:t">
              <w:txbxContent>
                <w:p w:rsidR="003E3B6C" w:rsidRPr="003E3B6C" w:rsidRDefault="003E3B6C">
                  <w:pPr>
                    <w:rPr>
                      <w:lang w:val="en-US"/>
                    </w:rPr>
                  </w:pPr>
                  <w:r w:rsidRPr="003E3B6C">
                    <w:rPr>
                      <w:lang w:val="en-US"/>
                    </w:rPr>
                    <w:t>300 patients referred from internal med</w:t>
                  </w:r>
                  <w:r>
                    <w:rPr>
                      <w:lang w:val="en-US"/>
                    </w:rPr>
                    <w:t xml:space="preserve">icine for IT </w:t>
                  </w:r>
                  <w:r w:rsidRPr="003E3B6C">
                    <w:rPr>
                      <w:lang w:val="en-US"/>
                    </w:rPr>
                    <w:t>screening</w:t>
                  </w:r>
                </w:p>
              </w:txbxContent>
            </v:textbox>
          </v:shape>
        </w:pict>
      </w:r>
    </w:p>
    <w:sectPr w:rsidR="0037009A" w:rsidRPr="003E3B6C" w:rsidSect="00E71093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5AB" w:rsidRDefault="00B355AB" w:rsidP="000F55C0">
      <w:pPr>
        <w:spacing w:after="0" w:line="240" w:lineRule="auto"/>
      </w:pPr>
      <w:r>
        <w:separator/>
      </w:r>
    </w:p>
  </w:endnote>
  <w:endnote w:type="continuationSeparator" w:id="1">
    <w:p w:rsidR="00B355AB" w:rsidRDefault="00B355AB" w:rsidP="000F5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nson Text LT">
    <w:altName w:val="Janson Text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100692"/>
      <w:docPartObj>
        <w:docPartGallery w:val="Page Numbers (Bottom of Page)"/>
        <w:docPartUnique/>
      </w:docPartObj>
    </w:sdtPr>
    <w:sdtContent>
      <w:p w:rsidR="00573F07" w:rsidRDefault="00000C62">
        <w:pPr>
          <w:pStyle w:val="Pieddepage"/>
          <w:jc w:val="right"/>
        </w:pPr>
        <w:r w:rsidRPr="006E507A">
          <w:rPr>
            <w:rFonts w:ascii="Tahoma" w:hAnsi="Tahoma" w:cs="Tahoma"/>
          </w:rPr>
          <w:fldChar w:fldCharType="begin"/>
        </w:r>
        <w:r w:rsidR="00F47ED7" w:rsidRPr="006E507A">
          <w:rPr>
            <w:rFonts w:ascii="Tahoma" w:hAnsi="Tahoma" w:cs="Tahoma"/>
          </w:rPr>
          <w:instrText>PAGE   \* MERGEFORMAT</w:instrText>
        </w:r>
        <w:r w:rsidRPr="006E507A">
          <w:rPr>
            <w:rFonts w:ascii="Tahoma" w:hAnsi="Tahoma" w:cs="Tahoma"/>
          </w:rPr>
          <w:fldChar w:fldCharType="separate"/>
        </w:r>
        <w:r w:rsidR="000F55C0">
          <w:rPr>
            <w:rFonts w:ascii="Tahoma" w:hAnsi="Tahoma" w:cs="Tahoma"/>
            <w:noProof/>
          </w:rPr>
          <w:t>42</w:t>
        </w:r>
        <w:r w:rsidRPr="006E507A">
          <w:rPr>
            <w:rFonts w:ascii="Tahoma" w:hAnsi="Tahoma" w:cs="Tahoma"/>
          </w:rPr>
          <w:fldChar w:fldCharType="end"/>
        </w:r>
      </w:p>
    </w:sdtContent>
  </w:sdt>
  <w:p w:rsidR="00573F07" w:rsidRDefault="00B355A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5AB" w:rsidRDefault="00B355AB" w:rsidP="000F55C0">
      <w:pPr>
        <w:spacing w:after="0" w:line="240" w:lineRule="auto"/>
      </w:pPr>
      <w:r>
        <w:separator/>
      </w:r>
    </w:p>
  </w:footnote>
  <w:footnote w:type="continuationSeparator" w:id="1">
    <w:p w:rsidR="00B355AB" w:rsidRDefault="00B355AB" w:rsidP="000F5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F07" w:rsidRPr="00986E55" w:rsidRDefault="00B355AB" w:rsidP="000F55C0">
    <w:pPr>
      <w:pStyle w:val="En-tte"/>
      <w:pBdr>
        <w:bottom w:val="single" w:sz="4" w:space="3" w:color="auto"/>
      </w:pBdr>
      <w:tabs>
        <w:tab w:val="clear" w:pos="9072"/>
        <w:tab w:val="right" w:pos="8220"/>
      </w:tabs>
      <w:spacing w:line="276" w:lineRule="auto"/>
      <w:rPr>
        <w:rFonts w:ascii="Tahoma" w:hAnsi="Tahoma" w:cs="Tahoma"/>
        <w:i/>
        <w:color w:val="080808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F07" w:rsidRDefault="00F47ED7" w:rsidP="006E507A">
    <w:pPr>
      <w:pStyle w:val="En-tte"/>
      <w:spacing w:line="276" w:lineRule="auto"/>
      <w:rPr>
        <w:rFonts w:ascii="Tahoma" w:hAnsi="Tahoma" w:cs="Tahoma"/>
        <w:i/>
        <w:color w:val="080808"/>
        <w:sz w:val="18"/>
        <w:szCs w:val="18"/>
      </w:rPr>
    </w:pPr>
    <w:r>
      <w:rPr>
        <w:rFonts w:ascii="Tahoma" w:hAnsi="Tahoma" w:cs="Tahoma"/>
        <w:i/>
        <w:color w:val="080808"/>
        <w:sz w:val="18"/>
        <w:szCs w:val="18"/>
      </w:rPr>
      <w:t xml:space="preserve">Impact thérapeutique du bilan de thrombophilie </w:t>
    </w:r>
  </w:p>
  <w:p w:rsidR="00573F07" w:rsidRPr="006E507A" w:rsidRDefault="00F47ED7" w:rsidP="00986E55">
    <w:pPr>
      <w:pStyle w:val="En-tte"/>
      <w:pBdr>
        <w:bottom w:val="single" w:sz="4" w:space="1" w:color="auto"/>
      </w:pBdr>
      <w:tabs>
        <w:tab w:val="clear" w:pos="9072"/>
        <w:tab w:val="right" w:pos="8364"/>
      </w:tabs>
      <w:spacing w:line="276" w:lineRule="auto"/>
      <w:rPr>
        <w:rFonts w:ascii="Tahoma" w:hAnsi="Tahoma" w:cs="Tahoma"/>
        <w:i/>
        <w:color w:val="080808"/>
        <w:sz w:val="18"/>
        <w:szCs w:val="18"/>
      </w:rPr>
    </w:pPr>
    <w:r>
      <w:rPr>
        <w:rFonts w:ascii="Tahoma" w:hAnsi="Tahoma" w:cs="Tahoma"/>
        <w:i/>
        <w:color w:val="080808"/>
        <w:sz w:val="18"/>
        <w:szCs w:val="18"/>
      </w:rPr>
      <w:t>Dans la thrombose veineuse</w:t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hAnsi="Tahoma" w:cs="Tahoma"/>
        <w:i/>
        <w:color w:val="080808"/>
        <w:sz w:val="18"/>
        <w:szCs w:val="18"/>
      </w:rPr>
      <w:tab/>
    </w:r>
    <w:r>
      <w:rPr>
        <w:rFonts w:ascii="Tahoma" w:eastAsiaTheme="majorEastAsia" w:hAnsi="Tahoma" w:cs="Tahoma"/>
        <w:i/>
        <w:color w:val="000000" w:themeColor="text1"/>
        <w:sz w:val="18"/>
        <w:szCs w:val="18"/>
      </w:rPr>
      <w:t>DISCUSSION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35A04"/>
    <w:multiLevelType w:val="hybridMultilevel"/>
    <w:tmpl w:val="480C49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A29"/>
    <w:rsid w:val="00000C62"/>
    <w:rsid w:val="00023286"/>
    <w:rsid w:val="000D593D"/>
    <w:rsid w:val="000F55C0"/>
    <w:rsid w:val="0010092E"/>
    <w:rsid w:val="00125327"/>
    <w:rsid w:val="00150701"/>
    <w:rsid w:val="0015150D"/>
    <w:rsid w:val="00240CDE"/>
    <w:rsid w:val="002C4AA2"/>
    <w:rsid w:val="00322D99"/>
    <w:rsid w:val="0032442A"/>
    <w:rsid w:val="0037009A"/>
    <w:rsid w:val="003C4884"/>
    <w:rsid w:val="003E3B6C"/>
    <w:rsid w:val="00411946"/>
    <w:rsid w:val="00475D1B"/>
    <w:rsid w:val="00494370"/>
    <w:rsid w:val="004B3042"/>
    <w:rsid w:val="004D0BF0"/>
    <w:rsid w:val="0051682D"/>
    <w:rsid w:val="00543828"/>
    <w:rsid w:val="005504E3"/>
    <w:rsid w:val="0055170C"/>
    <w:rsid w:val="00612D2B"/>
    <w:rsid w:val="0064681F"/>
    <w:rsid w:val="006B72B5"/>
    <w:rsid w:val="006D37C3"/>
    <w:rsid w:val="0089642E"/>
    <w:rsid w:val="008B619D"/>
    <w:rsid w:val="008C19E6"/>
    <w:rsid w:val="0092143D"/>
    <w:rsid w:val="0096334C"/>
    <w:rsid w:val="009961C9"/>
    <w:rsid w:val="00A321F1"/>
    <w:rsid w:val="00AD6212"/>
    <w:rsid w:val="00AE1CA7"/>
    <w:rsid w:val="00B355AB"/>
    <w:rsid w:val="00B77F1C"/>
    <w:rsid w:val="00B91CE7"/>
    <w:rsid w:val="00B959A6"/>
    <w:rsid w:val="00C04A29"/>
    <w:rsid w:val="00C17381"/>
    <w:rsid w:val="00C9732E"/>
    <w:rsid w:val="00D241CE"/>
    <w:rsid w:val="00D242EC"/>
    <w:rsid w:val="00D56DF4"/>
    <w:rsid w:val="00DB5233"/>
    <w:rsid w:val="00E46B99"/>
    <w:rsid w:val="00E71093"/>
    <w:rsid w:val="00EA501E"/>
    <w:rsid w:val="00EB009F"/>
    <w:rsid w:val="00F47ED7"/>
    <w:rsid w:val="00F602A2"/>
    <w:rsid w:val="00FC6681"/>
    <w:rsid w:val="00FD4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  <v:textbox style="layout-flow:vertical-ideographic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04A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7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00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242EC"/>
    <w:pPr>
      <w:ind w:left="720"/>
      <w:contextualSpacing/>
    </w:pPr>
  </w:style>
  <w:style w:type="character" w:customStyle="1" w:styleId="A1">
    <w:name w:val="A1"/>
    <w:uiPriority w:val="99"/>
    <w:rsid w:val="0051682D"/>
    <w:rPr>
      <w:rFonts w:cs="Janson Text LT"/>
      <w:color w:val="000000"/>
      <w:sz w:val="19"/>
      <w:szCs w:val="19"/>
    </w:rPr>
  </w:style>
  <w:style w:type="paragraph" w:styleId="En-tte">
    <w:name w:val="header"/>
    <w:basedOn w:val="Normal"/>
    <w:link w:val="En-tteCar"/>
    <w:uiPriority w:val="99"/>
    <w:unhideWhenUsed/>
    <w:rsid w:val="000F55C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F55C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F55C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F55C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718BF-228B-4097-B3C9-9582071C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2020-01-20T19:22:00Z</dcterms:created>
  <dcterms:modified xsi:type="dcterms:W3CDTF">2020-02-02T15:13:00Z</dcterms:modified>
</cp:coreProperties>
</file>