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Experimental</w:t>
      </w:r>
      <w:r>
        <w:t xml:space="preserve"> </w:t>
      </w:r>
      <w:r>
        <w:t xml:space="preserve">Set</w:t>
      </w:r>
      <w:r>
        <w:t xml:space="preserve"> </w:t>
      </w:r>
      <w:r>
        <w:t xml:space="preserve">Up</w:t>
      </w:r>
      <w:r>
        <w:t xml:space="preserve"> </w:t>
      </w:r>
      <w:r>
        <w:t xml:space="preserve">and</w:t>
      </w:r>
      <w:r>
        <w:t xml:space="preserve"> </w:t>
      </w:r>
      <w:r>
        <w:t xml:space="preserve">Data</w:t>
      </w:r>
      <w:r>
        <w:t xml:space="preserve"> </w:t>
      </w:r>
      <w:r>
        <w:t xml:space="preserve">Analysis</w:t>
      </w:r>
      <w:r>
        <w:t xml:space="preserve"> </w:t>
      </w:r>
      <w:r>
        <w:t xml:space="preserve">Considerations</w:t>
      </w:r>
      <w:r>
        <w:t xml:space="preserve"> </w:t>
      </w:r>
      <w:r>
        <w:t xml:space="preserve">for</w:t>
      </w:r>
      <w:r>
        <w:t xml:space="preserve"> </w:t>
      </w:r>
      <w:r>
        <w:t xml:space="preserve">DNA-</w:t>
      </w:r>
      <w:r>
        <w:t xml:space="preserve"> </w:t>
      </w:r>
      <w:r>
        <w:t xml:space="preserve">and</w:t>
      </w:r>
      <w:r>
        <w:t xml:space="preserve"> </w:t>
      </w:r>
      <w:r>
        <w:t xml:space="preserve">RNA-SIP</w:t>
      </w:r>
      <w:r>
        <w:t xml:space="preserve"> </w:t>
      </w:r>
      <w:r>
        <w:t xml:space="preserve">Experiments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Omics</w:t>
      </w:r>
      <w:r>
        <w:t xml:space="preserve"> </w:t>
      </w:r>
      <w:r>
        <w:t xml:space="preserve">Era</w:t>
      </w:r>
    </w:p>
    <w:p>
      <w:pPr>
        <w:pStyle w:val="Author"/>
      </w:pPr>
      <w:r>
        <w:t xml:space="preserve">Roey</w:t>
      </w:r>
      <w:r>
        <w:t xml:space="preserve"> </w:t>
      </w:r>
      <w:r>
        <w:t xml:space="preserve">Angel</w:t>
      </w:r>
    </w:p>
    <w:p>
      <w:pPr>
        <w:pStyle w:val="Abstract"/>
      </w:pPr>
      <w:r>
        <w:t xml:space="preserve">Careful</w:t>
      </w:r>
      <w:r>
        <w:t xml:space="preserve"> </w:t>
      </w:r>
      <w:r>
        <w:t xml:space="preserve">and</w:t>
      </w:r>
      <w:r>
        <w:t xml:space="preserve"> </w:t>
      </w:r>
      <w:r>
        <w:t xml:space="preserve">thoughtful</w:t>
      </w:r>
      <w:r>
        <w:t xml:space="preserve"> </w:t>
      </w:r>
      <w:r>
        <w:t xml:space="preserve">experimental</w:t>
      </w:r>
      <w:r>
        <w:t xml:space="preserve"> </w:t>
      </w:r>
      <w:r>
        <w:t xml:space="preserve">design</w:t>
      </w:r>
      <w:r>
        <w:t xml:space="preserve"> </w:t>
      </w:r>
      <w:r>
        <w:t xml:space="preserve">is</w:t>
      </w:r>
      <w:r>
        <w:t xml:space="preserve"> </w:t>
      </w:r>
      <w:r>
        <w:t xml:space="preserve">crucial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success</w:t>
      </w:r>
      <w:r>
        <w:t xml:space="preserve"> </w:t>
      </w:r>
      <w:r>
        <w:t xml:space="preserve">of</w:t>
      </w:r>
      <w:r>
        <w:t xml:space="preserve"> </w:t>
      </w:r>
      <w:r>
        <w:t xml:space="preserve">any</w:t>
      </w:r>
      <w:r>
        <w:t xml:space="preserve"> </w:t>
      </w:r>
      <w:r>
        <w:t xml:space="preserve">SIP</w:t>
      </w:r>
      <w:r>
        <w:t xml:space="preserve"> </w:t>
      </w:r>
      <w:r>
        <w:t xml:space="preserve">experiment.</w:t>
      </w:r>
      <w:r>
        <w:t xml:space="preserve"> </w:t>
      </w:r>
      <w:r>
        <w:t xml:space="preserve">This</w:t>
      </w:r>
      <w:r>
        <w:t xml:space="preserve"> </w:t>
      </w:r>
      <w:r>
        <w:t xml:space="preserve">chapter</w:t>
      </w:r>
      <w:r>
        <w:t xml:space="preserve"> </w:t>
      </w:r>
      <w:r>
        <w:t xml:space="preserve">discusses</w:t>
      </w:r>
      <w:r>
        <w:t xml:space="preserve"> </w:t>
      </w:r>
      <w:r>
        <w:t xml:space="preserve">the</w:t>
      </w:r>
      <w:r>
        <w:t xml:space="preserve"> </w:t>
      </w:r>
      <w:r>
        <w:t xml:space="preserve">essential</w:t>
      </w:r>
      <w:r>
        <w:t xml:space="preserve"> </w:t>
      </w:r>
      <w:r>
        <w:t xml:space="preserve">aspects</w:t>
      </w:r>
      <w:r>
        <w:t xml:space="preserve"> </w:t>
      </w:r>
      <w:r>
        <w:t xml:space="preserve">of</w:t>
      </w:r>
      <w:r>
        <w:t xml:space="preserve"> </w:t>
      </w:r>
      <w:r>
        <w:t xml:space="preserve">designing</w:t>
      </w:r>
      <w:r>
        <w:t xml:space="preserve"> </w:t>
      </w:r>
      <w:r>
        <w:t xml:space="preserve">a</w:t>
      </w:r>
      <w:r>
        <w:t xml:space="preserve"> </w:t>
      </w:r>
      <w:r>
        <w:t xml:space="preserve">SIP</w:t>
      </w:r>
      <w:r>
        <w:t xml:space="preserve"> </w:t>
      </w:r>
      <w:r>
        <w:t xml:space="preserve">experiment,</w:t>
      </w:r>
      <w:r>
        <w:t xml:space="preserve"> </w:t>
      </w:r>
      <w:r>
        <w:t xml:space="preserve">focusing</w:t>
      </w:r>
      <w:r>
        <w:t xml:space="preserve"> </w:t>
      </w:r>
      <w:r>
        <w:t xml:space="preserve">primarily</w:t>
      </w:r>
      <w:r>
        <w:t xml:space="preserve"> </w:t>
      </w:r>
      <w:r>
        <w:t xml:space="preserve">on</w:t>
      </w:r>
      <w:r>
        <w:t xml:space="preserve"> </w:t>
      </w:r>
      <w:r>
        <w:t xml:space="preserve">DNA-</w:t>
      </w:r>
      <w:r>
        <w:t xml:space="preserve"> </w:t>
      </w:r>
      <w:r>
        <w:t xml:space="preserve">and</w:t>
      </w:r>
      <w:r>
        <w:t xml:space="preserve"> </w:t>
      </w:r>
      <w:r>
        <w:t xml:space="preserve">RNA-SIP.</w:t>
      </w:r>
      <w:r>
        <w:t xml:space="preserve"> </w:t>
      </w:r>
      <w:r>
        <w:t xml:space="preserve">The</w:t>
      </w:r>
      <w:r>
        <w:t xml:space="preserve"> </w:t>
      </w:r>
      <w:r>
        <w:t xml:space="preserve">design</w:t>
      </w:r>
      <w:r>
        <w:t xml:space="preserve"> </w:t>
      </w:r>
      <w:r>
        <w:t xml:space="preserve">aspects</w:t>
      </w:r>
      <w:r>
        <w:t xml:space="preserve"> </w:t>
      </w:r>
      <w:r>
        <w:t xml:space="preserve">discussed</w:t>
      </w:r>
      <w:r>
        <w:t xml:space="preserve"> </w:t>
      </w:r>
      <w:r>
        <w:t xml:space="preserve">here</w:t>
      </w:r>
      <w:r>
        <w:t xml:space="preserve"> </w:t>
      </w:r>
      <w:r>
        <w:t xml:space="preserve">begin</w:t>
      </w:r>
      <w:r>
        <w:t xml:space="preserve"> </w:t>
      </w:r>
      <w:r>
        <w:t xml:space="preserve">with</w:t>
      </w:r>
      <w:r>
        <w:t xml:space="preserve"> </w:t>
      </w:r>
      <w:r>
        <w:t xml:space="preserve">considerations</w:t>
      </w:r>
      <w:r>
        <w:t xml:space="preserve"> </w:t>
      </w:r>
      <w:r>
        <w:t xml:space="preserve">for</w:t>
      </w:r>
      <w:r>
        <w:t xml:space="preserve"> </w:t>
      </w:r>
      <w:r>
        <w:t xml:space="preserve">carrying</w:t>
      </w:r>
      <w:r>
        <w:t xml:space="preserve"> </w:t>
      </w:r>
      <w:r>
        <w:t xml:space="preserve">out</w:t>
      </w:r>
      <w:r>
        <w:t xml:space="preserve"> </w:t>
      </w:r>
      <w:r>
        <w:t xml:space="preserve">the</w:t>
      </w:r>
      <w:r>
        <w:t xml:space="preserve"> </w:t>
      </w:r>
      <w:r>
        <w:t xml:space="preserve">incubation,</w:t>
      </w:r>
      <w:r>
        <w:t xml:space="preserve"> </w:t>
      </w:r>
      <w:r>
        <w:t xml:space="preserve">such</w:t>
      </w:r>
      <w:r>
        <w:t xml:space="preserve"> </w:t>
      </w:r>
      <w:r>
        <w:t xml:space="preserve">as,</w:t>
      </w:r>
      <w:r>
        <w:t xml:space="preserve"> </w:t>
      </w:r>
      <w:r>
        <w:t xml:space="preserve">the</w:t>
      </w:r>
      <w:r>
        <w:t xml:space="preserve"> </w:t>
      </w:r>
      <w:r>
        <w:t xml:space="preserve">effect</w:t>
      </w:r>
      <w:r>
        <w:t xml:space="preserve"> </w:t>
      </w:r>
      <w:r>
        <w:t xml:space="preserve">of</w:t>
      </w:r>
      <w:r>
        <w:t xml:space="preserve"> </w:t>
      </w:r>
      <w:r>
        <w:t xml:space="preserve">choosing</w:t>
      </w:r>
      <w:r>
        <w:t xml:space="preserve"> </w:t>
      </w:r>
      <w:r>
        <w:t xml:space="preserve">different</w:t>
      </w:r>
      <w:r>
        <w:t xml:space="preserve"> </w:t>
      </w:r>
      <w:r>
        <w:t xml:space="preserve">stable</w:t>
      </w:r>
      <w:r>
        <w:t xml:space="preserve"> </w:t>
      </w:r>
      <w:r>
        <w:t xml:space="preserve">isotopes</w:t>
      </w:r>
      <w:r>
        <w:t xml:space="preserve"> </w:t>
      </w:r>
      <w:r>
        <w:t xml:space="preserve">and</w:t>
      </w:r>
      <w:r>
        <w:t xml:space="preserve"> </w:t>
      </w:r>
      <w:r>
        <w:t xml:space="preserve">target</w:t>
      </w:r>
      <w:r>
        <w:t xml:space="preserve"> </w:t>
      </w:r>
      <w:r>
        <w:t xml:space="preserve">biomolecules,</w:t>
      </w:r>
      <w:r>
        <w:t xml:space="preserve"> </w:t>
      </w:r>
      <w:r>
        <w:t xml:space="preserve">how</w:t>
      </w:r>
      <w:r>
        <w:t xml:space="preserve"> </w:t>
      </w:r>
      <w:r>
        <w:t xml:space="preserve">enriched</w:t>
      </w:r>
      <w:r>
        <w:t xml:space="preserve"> </w:t>
      </w:r>
      <w:r>
        <w:t xml:space="preserve">should</w:t>
      </w:r>
      <w:r>
        <w:t xml:space="preserve"> </w:t>
      </w:r>
      <w:r>
        <w:t xml:space="preserve">a</w:t>
      </w:r>
      <w:r>
        <w:t xml:space="preserve"> </w:t>
      </w:r>
      <w:r>
        <w:t xml:space="preserve">labelled</w:t>
      </w:r>
      <w:r>
        <w:t xml:space="preserve"> </w:t>
      </w:r>
      <w:r>
        <w:t xml:space="preserve">substrate</w:t>
      </w:r>
      <w:r>
        <w:t xml:space="preserve"> </w:t>
      </w:r>
      <w:r>
        <w:t xml:space="preserve">be,</w:t>
      </w:r>
      <w:r>
        <w:t xml:space="preserve"> </w:t>
      </w:r>
      <w:r>
        <w:t xml:space="preserve">what</w:t>
      </w:r>
      <w:r>
        <w:t xml:space="preserve"> </w:t>
      </w:r>
      <w:r>
        <w:t xml:space="preserve">concentration</w:t>
      </w:r>
      <w:r>
        <w:t xml:space="preserve"> </w:t>
      </w:r>
      <w:r>
        <w:t xml:space="preserve">to</w:t>
      </w:r>
      <w:r>
        <w:t xml:space="preserve"> </w:t>
      </w:r>
      <w:r>
        <w:t xml:space="preserve">use</w:t>
      </w:r>
      <w:r>
        <w:t xml:space="preserve"> </w:t>
      </w:r>
      <w:r>
        <w:t xml:space="preserve">and</w:t>
      </w:r>
      <w:r>
        <w:t xml:space="preserve"> </w:t>
      </w:r>
      <w:r>
        <w:t xml:space="preserve">how</w:t>
      </w:r>
      <w:r>
        <w:t xml:space="preserve"> </w:t>
      </w:r>
      <w:r>
        <w:t xml:space="preserve">long</w:t>
      </w:r>
      <w:r>
        <w:t xml:space="preserve"> </w:t>
      </w:r>
      <w:r>
        <w:t xml:space="preserve">the</w:t>
      </w:r>
      <w:r>
        <w:t xml:space="preserve"> </w:t>
      </w:r>
      <w:r>
        <w:t xml:space="preserve">incubation</w:t>
      </w:r>
      <w:r>
        <w:t xml:space="preserve"> </w:t>
      </w:r>
      <w:r>
        <w:t xml:space="preserve">should</w:t>
      </w:r>
      <w:r>
        <w:t xml:space="preserve"> </w:t>
      </w:r>
      <w:r>
        <w:t xml:space="preserve">take.</w:t>
      </w:r>
      <w:r>
        <w:t xml:space="preserve"> </w:t>
      </w:r>
      <w:r>
        <w:t xml:space="preserve">Then</w:t>
      </w:r>
      <w:r>
        <w:t xml:space="preserve"> </w:t>
      </w:r>
      <w:r>
        <w:t xml:space="preserve">tips</w:t>
      </w:r>
      <w:r>
        <w:t xml:space="preserve"> </w:t>
      </w:r>
      <w:r>
        <w:t xml:space="preserve">and</w:t>
      </w:r>
      <w:r>
        <w:t xml:space="preserve"> </w:t>
      </w:r>
      <w:r>
        <w:t xml:space="preserve">pitfalls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technical</w:t>
      </w:r>
      <w:r>
        <w:t xml:space="preserve"> </w:t>
      </w:r>
      <w:r>
        <w:t xml:space="preserve">execution</w:t>
      </w:r>
      <w:r>
        <w:t xml:space="preserve"> </w:t>
      </w:r>
      <w:r>
        <w:t xml:space="preserve">of</w:t>
      </w:r>
      <w:r>
        <w:t xml:space="preserve"> </w:t>
      </w:r>
      <w:r>
        <w:t xml:space="preserve">SIP</w:t>
      </w:r>
      <w:r>
        <w:t xml:space="preserve"> </w:t>
      </w:r>
      <w:r>
        <w:t xml:space="preserve">are</w:t>
      </w:r>
      <w:r>
        <w:t xml:space="preserve"> </w:t>
      </w:r>
      <w:r>
        <w:t xml:space="preserve">listed,</w:t>
      </w:r>
      <w:r>
        <w:t xml:space="preserve"> </w:t>
      </w:r>
      <w:r>
        <w:t xml:space="preserve">including</w:t>
      </w:r>
      <w:r>
        <w:t xml:space="preserve"> </w:t>
      </w:r>
      <w:r>
        <w:t xml:space="preserve">how</w:t>
      </w:r>
      <w:r>
        <w:t xml:space="preserve"> </w:t>
      </w:r>
      <w:r>
        <w:t xml:space="preserve">much</w:t>
      </w:r>
      <w:r>
        <w:t xml:space="preserve"> </w:t>
      </w:r>
      <w:r>
        <w:t xml:space="preserve">nucleic</w:t>
      </w:r>
      <w:r>
        <w:t xml:space="preserve"> </w:t>
      </w:r>
      <w:r>
        <w:t xml:space="preserve">acids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loaded,</w:t>
      </w:r>
      <w:r>
        <w:t xml:space="preserve"> </w:t>
      </w:r>
      <w:r>
        <w:t xml:space="preserve">how</w:t>
      </w:r>
      <w:r>
        <w:t xml:space="preserve"> </w:t>
      </w:r>
      <w:r>
        <w:t xml:space="preserve">many</w:t>
      </w:r>
      <w:r>
        <w:t xml:space="preserve"> </w:t>
      </w:r>
      <w:r>
        <w:t xml:space="preserve">fractions</w:t>
      </w:r>
      <w:r>
        <w:t xml:space="preserve"> </w:t>
      </w:r>
      <w:r>
        <w:t xml:space="preserve">to</w:t>
      </w:r>
      <w:r>
        <w:t xml:space="preserve"> </w:t>
      </w:r>
      <w:r>
        <w:t xml:space="preserve">collect</w:t>
      </w:r>
      <w:r>
        <w:t xml:space="preserve"> </w:t>
      </w:r>
      <w:r>
        <w:t xml:space="preserve">and</w:t>
      </w:r>
      <w:r>
        <w:t xml:space="preserve"> </w:t>
      </w:r>
      <w:r>
        <w:t xml:space="preserve">what</w:t>
      </w:r>
      <w:r>
        <w:t xml:space="preserve"> </w:t>
      </w:r>
      <w:r>
        <w:t xml:space="preserve">centrifuge</w:t>
      </w:r>
      <w:r>
        <w:t xml:space="preserve"> </w:t>
      </w:r>
      <w:r>
        <w:t xml:space="preserve">rotor</w:t>
      </w:r>
      <w:r>
        <w:t xml:space="preserve"> </w:t>
      </w:r>
      <w:r>
        <w:t xml:space="preserve">to</w:t>
      </w:r>
      <w:r>
        <w:t xml:space="preserve"> </w:t>
      </w:r>
      <w:r>
        <w:t xml:space="preserve">use.</w:t>
      </w:r>
      <w:r>
        <w:t xml:space="preserve"> </w:t>
      </w:r>
      <w:r>
        <w:t xml:space="preserve">Lastly,</w:t>
      </w:r>
      <w:r>
        <w:t xml:space="preserve"> </w:t>
      </w:r>
      <w:r>
        <w:t xml:space="preserve">a</w:t>
      </w:r>
      <w:r>
        <w:t xml:space="preserve"> </w:t>
      </w:r>
      <w:r>
        <w:t xml:space="preserve">brief</w:t>
      </w:r>
      <w:r>
        <w:t xml:space="preserve"> </w:t>
      </w:r>
      <w:r>
        <w:t xml:space="preserve">overview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current</w:t>
      </w:r>
      <w:r>
        <w:t xml:space="preserve"> </w:t>
      </w:r>
      <w:r>
        <w:t xml:space="preserve">methods</w:t>
      </w:r>
      <w:r>
        <w:t xml:space="preserve"> </w:t>
      </w:r>
      <w:r>
        <w:t xml:space="preserve">for</w:t>
      </w:r>
      <w:r>
        <w:t xml:space="preserve"> </w:t>
      </w:r>
      <w:r>
        <w:t xml:space="preserve">analysing</w:t>
      </w:r>
      <w:r>
        <w:t xml:space="preserve"> </w:t>
      </w:r>
      <w:r>
        <w:t xml:space="preserve">SIP</w:t>
      </w:r>
      <w:r>
        <w:t xml:space="preserve"> </w:t>
      </w:r>
      <w:r>
        <w:t xml:space="preserve">data</w:t>
      </w:r>
      <w:r>
        <w:t xml:space="preserve"> </w:t>
      </w:r>
      <w:r>
        <w:t xml:space="preserve">is</w:t>
      </w:r>
      <w:r>
        <w:t xml:space="preserve"> </w:t>
      </w:r>
      <w:r>
        <w:t xml:space="preserve">presented,</w:t>
      </w:r>
      <w:r>
        <w:t xml:space="preserve"> </w:t>
      </w:r>
      <w:r>
        <w:t xml:space="preserve">focusing</w:t>
      </w:r>
      <w:r>
        <w:t xml:space="preserve"> </w:t>
      </w:r>
      <w:r>
        <w:t xml:space="preserve">on</w:t>
      </w:r>
      <w:r>
        <w:t xml:space="preserve"> </w:t>
      </w:r>
      <w:r>
        <w:t xml:space="preserve">high-throughput</w:t>
      </w:r>
      <w:r>
        <w:t xml:space="preserve"> </w:t>
      </w:r>
      <w:r>
        <w:t xml:space="preserve">amplicon</w:t>
      </w:r>
      <w:r>
        <w:t xml:space="preserve"> </w:t>
      </w:r>
      <w:r>
        <w:t xml:space="preserve">sequencing,</w:t>
      </w:r>
      <w:r>
        <w:t xml:space="preserve"> </w:t>
      </w:r>
      <w:r>
        <w:t xml:space="preserve">together</w:t>
      </w:r>
      <w:r>
        <w:t xml:space="preserve"> </w:t>
      </w:r>
      <w:r>
        <w:t xml:space="preserve">with</w:t>
      </w:r>
      <w:r>
        <w:t xml:space="preserve"> </w:t>
      </w:r>
      <w:r>
        <w:t xml:space="preserve">a</w:t>
      </w:r>
      <w:r>
        <w:t xml:space="preserve"> </w:t>
      </w:r>
      <w:r>
        <w:t xml:space="preserve">discussion</w:t>
      </w:r>
      <w:r>
        <w:t xml:space="preserve"> </w:t>
      </w:r>
      <w:r>
        <w:t xml:space="preserve">on</w:t>
      </w:r>
      <w:r>
        <w:t xml:space="preserve"> </w:t>
      </w:r>
      <w:r>
        <w:t xml:space="preserve">how</w:t>
      </w:r>
      <w:r>
        <w:t xml:space="preserve"> </w:t>
      </w:r>
      <w:r>
        <w:t xml:space="preserve">the</w:t>
      </w:r>
      <w:r>
        <w:t xml:space="preserve"> </w:t>
      </w:r>
      <w:r>
        <w:t xml:space="preserve">choice</w:t>
      </w:r>
      <w:r>
        <w:t xml:space="preserve"> </w:t>
      </w:r>
      <w:r>
        <w:t xml:space="preserve">of</w:t>
      </w:r>
      <w:r>
        <w:t xml:space="preserve"> </w:t>
      </w:r>
      <w:r>
        <w:t xml:space="preserve">analysis</w:t>
      </w:r>
      <w:r>
        <w:t xml:space="preserve"> </w:t>
      </w:r>
      <w:r>
        <w:t xml:space="preserve">method</w:t>
      </w:r>
      <w:r>
        <w:t xml:space="preserve"> </w:t>
      </w:r>
      <w:r>
        <w:t xml:space="preserve">might</w:t>
      </w:r>
      <w:r>
        <w:t xml:space="preserve"> </w:t>
      </w:r>
      <w:r>
        <w:t xml:space="preserve">affect</w:t>
      </w:r>
      <w:r>
        <w:t xml:space="preserve"> </w:t>
      </w:r>
      <w:r>
        <w:t xml:space="preserve">the</w:t>
      </w:r>
      <w:r>
        <w:t xml:space="preserve"> </w:t>
      </w:r>
      <w:r>
        <w:t xml:space="preserve">experimental</w:t>
      </w:r>
      <w:r>
        <w:t xml:space="preserve"> </w:t>
      </w:r>
      <w:r>
        <w:t xml:space="preserve">design.</w:t>
      </w:r>
    </w:p>
    <w:p>
      <w:pPr>
        <w:pStyle w:val="FirstParagraph"/>
      </w:pPr>
      <w:r>
        <w:rPr>
          <w:b/>
        </w:rPr>
        <w:t xml:space="preserve">Running head:</w:t>
      </w:r>
      <w:r>
        <w:t xml:space="preserve"> </w:t>
      </w:r>
      <w:r>
        <w:t xml:space="preserve">Experimental set-up and data analysis</w:t>
      </w:r>
    </w:p>
    <w:p>
      <w:pPr>
        <w:pStyle w:val="BodyText"/>
      </w:pPr>
      <w:r>
        <w:rPr>
          <w:b/>
        </w:rPr>
        <w:t xml:space="preserve">Keywords:</w:t>
      </w:r>
      <w:r>
        <w:t xml:space="preserve"> </w:t>
      </w:r>
      <w:r>
        <w:t xml:space="preserve">DNA-SIP, RNA-SIP, amplicon sequencing, omics, network</w:t>
      </w:r>
      <w:r>
        <w:t xml:space="preserve"> </w:t>
      </w:r>
      <w:r>
        <w:t xml:space="preserve">analysis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The success of any lab experiment hinges on a thoughtful design of the</w:t>
      </w:r>
      <w:r>
        <w:t xml:space="preserve"> </w:t>
      </w:r>
      <w:r>
        <w:t xml:space="preserve">experimental system, careful execution of protocols and</w:t>
      </w:r>
      <w:r>
        <w:t xml:space="preserve"> </w:t>
      </w:r>
      <w:r>
        <w:t xml:space="preserve">statistically-sound data analysis. While SIP protocols have matured and</w:t>
      </w:r>
      <w:r>
        <w:t xml:space="preserve"> </w:t>
      </w:r>
      <w:r>
        <w:t xml:space="preserve">become standardised over the past 20 years since their introduction,</w:t>
      </w:r>
      <w:r>
        <w:t xml:space="preserve"> </w:t>
      </w:r>
      <w:r>
        <w:t xml:space="preserve">what surrounds the gradient generation and fractionation, i.e., the</w:t>
      </w:r>
      <w:r>
        <w:t xml:space="preserve"> </w:t>
      </w:r>
      <w:r>
        <w:t xml:space="preserve">experimental design and data analysis, have been somewhat neglected.</w:t>
      </w:r>
      <w:r>
        <w:t xml:space="preserve"> </w:t>
      </w:r>
      <w:r>
        <w:t xml:space="preserve">Other chapters in this book provide detailed protocols on how to perform</w:t>
      </w:r>
      <w:r>
        <w:t xml:space="preserve"> </w:t>
      </w:r>
      <w:r>
        <w:t xml:space="preserve">SIP in the lab and how to analyse the data using specific methods. This</w:t>
      </w:r>
      <w:r>
        <w:t xml:space="preserve"> </w:t>
      </w:r>
      <w:r>
        <w:t xml:space="preserve">chapter, on the other hand, discusses general considerations in</w:t>
      </w:r>
      <w:r>
        <w:t xml:space="preserve"> </w:t>
      </w:r>
      <w:r>
        <w:t xml:space="preserve">conceptualising a SIP experiment, designing the experimental set-up and</w:t>
      </w:r>
      <w:r>
        <w:t xml:space="preserve"> </w:t>
      </w:r>
      <w:r>
        <w:t xml:space="preserve">choosing the right analysis method. The focus here is on DNA- and</w:t>
      </w:r>
      <w:r>
        <w:t xml:space="preserve"> </w:t>
      </w:r>
      <w:r>
        <w:t xml:space="preserve">RNA-SIP experiments since these are the most flexible and most</w:t>
      </w:r>
      <w:r>
        <w:t xml:space="preserve"> </w:t>
      </w:r>
      <w:r>
        <w:t xml:space="preserve">widely-used forms of SIP.</w:t>
      </w:r>
      <w:r>
        <w:t xml:space="preserve"> </w:t>
      </w:r>
      <w:r>
        <w:rPr>
          <w:b/>
        </w:rPr>
        <w:t xml:space="preserve">Table </w:t>
      </w:r>
      <w:r>
        <w:t xml:space="preserve">???</w:t>
      </w:r>
      <w:r>
        <w:t xml:space="preserve"> </w:t>
      </w:r>
      <w:r>
        <w:t xml:space="preserve">summarises the main points to consider during each of the various steps</w:t>
      </w:r>
      <w:r>
        <w:t xml:space="preserve"> </w:t>
      </w:r>
      <w:r>
        <w:t xml:space="preserve">in designing a SIP experiment.</w:t>
      </w:r>
    </w:p>
    <w:p>
      <w:pPr>
        <w:pStyle w:val="Heading1"/>
      </w:pPr>
      <w:bookmarkStart w:id="22" w:name="choice-of-stable-isotope"/>
      <w:bookmarkEnd w:id="22"/>
      <w:r>
        <w:t xml:space="preserve">Choice of stable isotope</w:t>
      </w:r>
    </w:p>
    <w:p>
      <w:pPr>
        <w:pStyle w:val="FirstParagraph"/>
      </w:pPr>
      <w:r>
        <w:t xml:space="preserve">Every SIP experiment is based on incubating the sample in the presence</w:t>
      </w:r>
      <w:r>
        <w:t xml:space="preserve"> </w:t>
      </w:r>
      <w:r>
        <w:t xml:space="preserve">of a heavy isotope labelled substrate. In theory, every element that is</w:t>
      </w:r>
      <w:r>
        <w:t xml:space="preserve"> </w:t>
      </w:r>
      <w:r>
        <w:t xml:space="preserve">present in the target biomolecule – DNA, RNA,  phospholipid-derived</w:t>
      </w:r>
      <w:r>
        <w:t xml:space="preserve"> </w:t>
      </w:r>
      <w:r>
        <w:t xml:space="preserve">fatty acids, or proteins – can be labelled and therefore be used in a</w:t>
      </w:r>
      <w:r>
        <w:t xml:space="preserve"> </w:t>
      </w:r>
      <w:r>
        <w:t xml:space="preserve">SIP experiment. The only exception is, of course, phosphorus for which</w:t>
      </w:r>
      <w:r>
        <w:t xml:space="preserve"> </w:t>
      </w:r>
      <w:r>
        <w:t xml:space="preserve">the common form – </w:t>
      </w:r>
      <w:r>
        <w:rPr>
          <w:vertAlign w:val="superscript"/>
        </w:rPr>
        <w:t xml:space="preserve">31</w:t>
      </w:r>
      <w:r>
        <w:t xml:space="preserve">P – is the only stable isotope</w:t>
      </w:r>
      <w:r>
        <w:t xml:space="preserve"> </w:t>
      </w:r>
      <w:r>
        <w:t xml:space="preserve">that exists. In practice, however, SIP experiments almost exclusively</w:t>
      </w:r>
      <w:r>
        <w:t xml:space="preserve"> </w:t>
      </w:r>
      <w:r>
        <w:t xml:space="preserve">use </w:t>
      </w:r>
      <w:r>
        <w:rPr>
          <w:vertAlign w:val="superscript"/>
        </w:rPr>
        <w:t xml:space="preserve">13</w:t>
      </w:r>
      <w:r>
        <w:t xml:space="preserve">C as the isotope of choice, with a tiny minority</w:t>
      </w:r>
      <w:r>
        <w:t xml:space="preserve"> </w:t>
      </w:r>
      <w:r>
        <w:t xml:space="preserve">using </w:t>
      </w:r>
      <w:r>
        <w:rPr>
          <w:vertAlign w:val="superscript"/>
        </w:rPr>
        <w:t xml:space="preserve">18</w:t>
      </w:r>
      <w:r>
        <w:t xml:space="preserve">O and </w:t>
      </w:r>
      <w:r>
        <w:rPr>
          <w:vertAlign w:val="superscript"/>
        </w:rPr>
        <w:t xml:space="preserve">15</w:t>
      </w:r>
      <w:r>
        <w:t xml:space="preserve">N.  The choice of</w:t>
      </w:r>
      <w:r>
        <w:t xml:space="preserve"> </w:t>
      </w:r>
      <w:r>
        <w:t xml:space="preserve">substrate and stable isotope as labelling compounds in a SIP experiment</w:t>
      </w:r>
      <w:r>
        <w:t xml:space="preserve"> </w:t>
      </w:r>
      <w:r>
        <w:t xml:space="preserve">is of course directly related to the metabolic process or microbial</w:t>
      </w:r>
      <w:r>
        <w:t xml:space="preserve"> </w:t>
      </w:r>
      <w:r>
        <w:t xml:space="preserve">guild of interest. Naturally, in SIP target microbes can only be</w:t>
      </w:r>
      <w:r>
        <w:t xml:space="preserve"> </w:t>
      </w:r>
      <w:r>
        <w:t xml:space="preserve">isotopically labelled through assimilatory processes. This is somewhat</w:t>
      </w:r>
      <w:r>
        <w:t xml:space="preserve"> </w:t>
      </w:r>
      <w:r>
        <w:t xml:space="preserve">unfortunate because many of the microbially-mediated biogeochemical</w:t>
      </w:r>
      <w:r>
        <w:t xml:space="preserve"> </w:t>
      </w:r>
      <w:r>
        <w:t xml:space="preserve">processes of interest are energy-yielding dissimilatory processes,</w:t>
      </w:r>
      <w:r>
        <w:t xml:space="preserve"> </w:t>
      </w:r>
      <w:r>
        <w:t xml:space="preserve">involving only electron transfer between two compounds and leave no</w:t>
      </w:r>
      <w:r>
        <w:t xml:space="preserve"> </w:t>
      </w:r>
      <w:r>
        <w:t xml:space="preserve">trace in the biomass. In such cases, the microbial guild of interest can</w:t>
      </w:r>
      <w:r>
        <w:t xml:space="preserve"> </w:t>
      </w:r>
      <w:r>
        <w:t xml:space="preserve">only be labelled indirectly through an assimilatory process that is</w:t>
      </w:r>
      <w:r>
        <w:t xml:space="preserve"> </w:t>
      </w:r>
      <w:r>
        <w:t xml:space="preserve">powered by the dissimilatory process of interest (e.g.,</w:t>
      </w:r>
      <w:r>
        <w:t xml:space="preserve"> </w:t>
      </w:r>
      <w:r>
        <w:t xml:space="preserve">using </w:t>
      </w:r>
      <w:r>
        <w:rPr>
          <w:vertAlign w:val="superscript"/>
        </w:rPr>
        <w:t xml:space="preserve">18</w:t>
      </w:r>
      <w:r>
        <w:t xml:space="preserve">O-H</w:t>
      </w:r>
      <w:r>
        <w:rPr>
          <w:vertAlign w:val="subscript"/>
        </w:rPr>
        <w:t xml:space="preserve">2</w:t>
      </w:r>
      <w:r>
        <w:t xml:space="preserve">O</w:t>
      </w:r>
      <w:r>
        <w:t xml:space="preserve"> </w:t>
      </w:r>
      <w:r>
        <w:t xml:space="preserve">or </w:t>
      </w:r>
      <w:r>
        <w:rPr>
          <w:vertAlign w:val="superscript"/>
        </w:rPr>
        <w:t xml:space="preserve">13</w:t>
      </w:r>
      <w:r>
        <w:t xml:space="preserve">C-CO</w:t>
      </w:r>
      <w:r>
        <w:rPr>
          <w:vertAlign w:val="subscript"/>
        </w:rPr>
        <w:t xml:space="preserve">2</w:t>
      </w:r>
      <w:r>
        <w:t xml:space="preserve"> </w:t>
      </w:r>
      <w:r>
        <w:t xml:space="preserve">as general substrates for</w:t>
      </w:r>
      <w:r>
        <w:t xml:space="preserve"> </w:t>
      </w:r>
      <w:r>
        <w:t xml:space="preserve">all active organisms and for autotrophs, respectively). </w:t>
      </w:r>
    </w:p>
    <w:p>
      <w:pPr>
        <w:pStyle w:val="BodyText"/>
      </w:pPr>
      <w:r>
        <w:t xml:space="preserve">Beyond the question of which biological process or microbial target</w:t>
      </w:r>
      <w:r>
        <w:t xml:space="preserve"> </w:t>
      </w:r>
      <w:r>
        <w:t xml:space="preserve">group to study, the different stable isotopes used for SIP differ in</w:t>
      </w:r>
      <w:r>
        <w:t xml:space="preserve"> </w:t>
      </w:r>
      <w:r>
        <w:t xml:space="preserve">their ability to label nucleic acids and therefore lead to buoyant</w:t>
      </w:r>
      <w:r>
        <w:t xml:space="preserve"> </w:t>
      </w:r>
      <w:r>
        <w:t xml:space="preserve">density (BD)</w:t>
      </w:r>
      <w:r>
        <w:t xml:space="preserve"> </w:t>
      </w:r>
      <w:r>
        <w:t xml:space="preserve">changes. </w:t>
      </w:r>
      <w:r>
        <w:rPr>
          <w:b/>
        </w:rPr>
        <w:t xml:space="preserve">Table </w:t>
      </w:r>
      <w:r>
        <w:t xml:space="preserve">???</w:t>
      </w:r>
      <w:r>
        <w:t xml:space="preserve"> </w:t>
      </w:r>
      <w:r>
        <w:t xml:space="preserve">lists and compares the number of additional neutrons gained per</w:t>
      </w:r>
      <w:r>
        <w:t xml:space="preserve"> </w:t>
      </w:r>
      <w:r>
        <w:t xml:space="preserve">nucleotide in a DNA or RNA molecule by replacing all the atomic</w:t>
      </w:r>
      <w:r>
        <w:t xml:space="preserve"> </w:t>
      </w:r>
      <w:r>
        <w:t xml:space="preserve">positions of a particular element with its heavier stable isotope. The</w:t>
      </w:r>
      <w:r>
        <w:t xml:space="preserve"> </w:t>
      </w:r>
      <w:r>
        <w:t xml:space="preserve">table shows that theoretically the highest mass increase from labelling</w:t>
      </w:r>
      <w:r>
        <w:t xml:space="preserve"> </w:t>
      </w:r>
      <w:r>
        <w:t xml:space="preserve">is achieved by using </w:t>
      </w:r>
      <w:r>
        <w:rPr>
          <w:vertAlign w:val="superscript"/>
        </w:rPr>
        <w:t xml:space="preserve">18</w:t>
      </w:r>
      <w:r>
        <w:t xml:space="preserve">O, with added 12 or 14 neutrons</w:t>
      </w:r>
      <w:r>
        <w:t xml:space="preserve"> </w:t>
      </w:r>
      <w:r>
        <w:t xml:space="preserve">on average for a hypothetical DNA or RNA molecule, respectively. This</w:t>
      </w:r>
      <w:r>
        <w:t xml:space="preserve"> </w:t>
      </w:r>
      <w:r>
        <w:t xml:space="preserve">is, of course, thanks to the fact that labelling</w:t>
      </w:r>
      <w:r>
        <w:t xml:space="preserve"> </w:t>
      </w:r>
      <w:r>
        <w:t xml:space="preserve">with </w:t>
      </w:r>
      <w:r>
        <w:rPr>
          <w:vertAlign w:val="superscript"/>
        </w:rPr>
        <w:t xml:space="preserve">18</w:t>
      </w:r>
      <w:r>
        <w:t xml:space="preserve">O adds two neutrons per atom compared to only</w:t>
      </w:r>
      <w:r>
        <w:t xml:space="preserve"> </w:t>
      </w:r>
      <w:r>
        <w:t xml:space="preserve">one for either </w:t>
      </w:r>
      <w:r>
        <w:rPr>
          <w:vertAlign w:val="superscript"/>
        </w:rPr>
        <w:t xml:space="preserve">13</w:t>
      </w:r>
      <w:r>
        <w:t xml:space="preserve">C, </w:t>
      </w:r>
      <w:r>
        <w:rPr>
          <w:vertAlign w:val="superscript"/>
        </w:rPr>
        <w:t xml:space="preserve">15</w:t>
      </w:r>
      <w:r>
        <w:t xml:space="preserve">N or D,</w:t>
      </w:r>
      <w:r>
        <w:t xml:space="preserve"> </w:t>
      </w:r>
      <w:r>
        <w:t xml:space="preserve">therefore leading to higher overall mass increase despite the lower</w:t>
      </w:r>
      <w:r>
        <w:t xml:space="preserve"> </w:t>
      </w:r>
      <w:r>
        <w:t xml:space="preserve">number of atoms in the molecule. In contrast, N is, unfortunately, the</w:t>
      </w:r>
      <w:r>
        <w:t xml:space="preserve"> </w:t>
      </w:r>
      <w:r>
        <w:t xml:space="preserve">rarest in nucleic acids compared to C, O or H and labelling</w:t>
      </w:r>
      <w:r>
        <w:t xml:space="preserve"> </w:t>
      </w:r>
      <w:r>
        <w:t xml:space="preserve">with </w:t>
      </w:r>
      <w:r>
        <w:rPr>
          <w:vertAlign w:val="superscript"/>
        </w:rPr>
        <w:t xml:space="preserve">15</w:t>
      </w:r>
      <w:r>
        <w:t xml:space="preserve">N can lead to a maximum of 3.75 added neutrons</w:t>
      </w:r>
      <w:r>
        <w:t xml:space="preserve"> </w:t>
      </w:r>
      <w:r>
        <w:t xml:space="preserve">per base, on average, or 2.5 times less in mass increase compared to</w:t>
      </w:r>
      <w:r>
        <w:t xml:space="preserve"> </w:t>
      </w:r>
      <w:r>
        <w:t xml:space="preserve">labelling with </w:t>
      </w:r>
      <w:r>
        <w:rPr>
          <w:vertAlign w:val="superscript"/>
        </w:rPr>
        <w:t xml:space="preserve">13</w:t>
      </w:r>
      <w:r>
        <w:t xml:space="preserve">C. This was confirmed experimentally</w:t>
      </w:r>
      <w:r>
        <w:t xml:space="preserve"> </w:t>
      </w:r>
      <w:r>
        <w:t xml:space="preserve">already over 40 years ago when it was shown that</w:t>
      </w:r>
      <w:r>
        <w:t xml:space="preserve"> </w:t>
      </w:r>
      <w:r>
        <w:t xml:space="preserve">fully </w:t>
      </w:r>
      <w:r>
        <w:rPr>
          <w:vertAlign w:val="superscript"/>
        </w:rPr>
        <w:t xml:space="preserve">15</w:t>
      </w:r>
      <w:r>
        <w:t xml:space="preserve">N-labelled DNA in CsCl has a BD gain of</w:t>
      </w:r>
      <w:r>
        <w:t xml:space="preserve"> </w:t>
      </w:r>
      <w:r>
        <w:t xml:space="preserve">ca</w:t>
      </w:r>
      <m:oMath>
        <m:r>
          <m:t>.</m:t>
        </m:r>
        <m:r>
          <m:t> </m:t>
        </m:r>
      </m:oMath>
      <w:r>
        <w:t xml:space="preserve">0.016 g ml</w:t>
      </w:r>
      <w:r>
        <w:rPr>
          <w:vertAlign w:val="superscript"/>
        </w:rPr>
        <w:t xml:space="preserve">−1</w:t>
      </w:r>
      <w:r>
        <w:t xml:space="preserve"> compared to a BD gain</w:t>
      </w:r>
      <w:r>
        <w:t xml:space="preserve"> </w:t>
      </w:r>
      <w:r>
        <w:t xml:space="preserve">of ca</w:t>
      </w:r>
      <m:oMath>
        <m:r>
          <m:t>.</m:t>
        </m:r>
        <m:r>
          <m:t> </m:t>
        </m:r>
      </m:oMath>
      <w:r>
        <w:t xml:space="preserve">0.036 g ml</w:t>
      </w:r>
      <w:r>
        <w:rPr>
          <w:vertAlign w:val="superscript"/>
        </w:rPr>
        <w:t xml:space="preserve">−1</w:t>
      </w:r>
      <w:r>
        <w:t xml:space="preserve"> </w:t>
      </w:r>
      <w:r>
        <w:t xml:space="preserve">with </w:t>
      </w:r>
      <w:r>
        <w:rPr>
          <w:vertAlign w:val="superscript"/>
        </w:rPr>
        <w:t xml:space="preserve">13</w:t>
      </w:r>
      <w:r>
        <w:t xml:space="preserve">C (Birnie and Rickwood 1978). Similarly, RNA fully</w:t>
      </w:r>
      <w:r>
        <w:t xml:space="preserve"> </w:t>
      </w:r>
      <w:r>
        <w:t xml:space="preserve">labelled with </w:t>
      </w:r>
      <w:r>
        <w:rPr>
          <w:vertAlign w:val="superscript"/>
        </w:rPr>
        <w:t xml:space="preserve">15</w:t>
      </w:r>
      <w:r>
        <w:t xml:space="preserve">N showed a BD gain of ∼0.015 g</w:t>
      </w:r>
      <w:r>
        <w:t xml:space="preserve"> </w:t>
      </w:r>
      <w:r>
        <w:t xml:space="preserve">ml</w:t>
      </w:r>
      <w:r>
        <w:rPr>
          <w:vertAlign w:val="superscript"/>
        </w:rPr>
        <w:t xml:space="preserve">−1</w:t>
      </w:r>
      <w:r>
        <w:t xml:space="preserve"> (Angel et al. 2018) compared to 0.035</w:t>
      </w:r>
      <w:r>
        <w:t xml:space="preserve"> </w:t>
      </w:r>
      <w:r>
        <w:t xml:space="preserve">for </w:t>
      </w:r>
      <w:r>
        <w:rPr>
          <w:vertAlign w:val="superscript"/>
        </w:rPr>
        <w:t xml:space="preserve">13</w:t>
      </w:r>
      <w:r>
        <w:t xml:space="preserve">C (Lueders, Manefield, and Friedrich 2004). The lower maximum mass</w:t>
      </w:r>
      <w:r>
        <w:t xml:space="preserve"> </w:t>
      </w:r>
      <w:r>
        <w:t xml:space="preserve">addition to DNA and RNA through </w:t>
      </w:r>
      <w:r>
        <w:rPr>
          <w:vertAlign w:val="superscript"/>
        </w:rPr>
        <w:t xml:space="preserve">15</w:t>
      </w:r>
      <w:r>
        <w:t xml:space="preserve">N-labelling means a</w:t>
      </w:r>
      <w:r>
        <w:t xml:space="preserve"> </w:t>
      </w:r>
      <w:r>
        <w:t xml:space="preserve">smaller shift of labelled nucleic acids away from unlabelled nucleic</w:t>
      </w:r>
      <w:r>
        <w:t xml:space="preserve"> </w:t>
      </w:r>
      <w:r>
        <w:t xml:space="preserve">acids in an isopycnic gradient compared</w:t>
      </w:r>
      <w:r>
        <w:t xml:space="preserve"> </w:t>
      </w:r>
      <w:r>
        <w:t xml:space="preserve">to </w:t>
      </w:r>
      <w:r>
        <w:rPr>
          <w:vertAlign w:val="superscript"/>
        </w:rPr>
        <w:t xml:space="preserve">13</w:t>
      </w:r>
      <w:r>
        <w:t xml:space="preserve">C-labelling. Still, this more modest shift in BD</w:t>
      </w:r>
      <w:r>
        <w:t xml:space="preserve"> </w:t>
      </w:r>
      <w:r>
        <w:t xml:space="preserve">is nevertheless sufficient to detect labelling in DNA originating from a</w:t>
      </w:r>
      <w:r>
        <w:t xml:space="preserve"> </w:t>
      </w:r>
      <w:r>
        <w:t xml:space="preserve">single organism, as was shown already in the classical work of Meselson</w:t>
      </w:r>
      <w:r>
        <w:t xml:space="preserve"> </w:t>
      </w:r>
      <w:r>
        <w:t xml:space="preserve">and Stahl (Meselson and Stahl 1958). However, for DNA-based SIP this creates a</w:t>
      </w:r>
      <w:r>
        <w:t xml:space="preserve"> </w:t>
      </w:r>
      <w:r>
        <w:t xml:space="preserve">major challenge since double-stranded DNA migrates in a BD gradient not</w:t>
      </w:r>
      <w:r>
        <w:t xml:space="preserve"> </w:t>
      </w:r>
      <w:r>
        <w:t xml:space="preserve">only as a function of its mass but also as a function of its hydration</w:t>
      </w:r>
      <w:r>
        <w:t xml:space="preserve"> </w:t>
      </w:r>
      <w:r>
        <w:t xml:space="preserve">state. The latter is ultimately determined by the G+C content of the DNA</w:t>
      </w:r>
      <w:r>
        <w:t xml:space="preserve"> </w:t>
      </w:r>
      <w:r>
        <w:t xml:space="preserve">and causes an undesired migration of unlabelled high-GC DNA towards the</w:t>
      </w:r>
      <w:r>
        <w:t xml:space="preserve"> </w:t>
      </w:r>
      <w:r>
        <w:t xml:space="preserve">denser regions of the gradient (Rolfe and Meselson 1959). Already in the first</w:t>
      </w:r>
      <w:r>
        <w:t xml:space="preserve"> </w:t>
      </w:r>
      <w:r>
        <w:t xml:space="preserve">attempts to develop </w:t>
      </w:r>
      <w:r>
        <w:rPr>
          <w:vertAlign w:val="superscript"/>
        </w:rPr>
        <w:t xml:space="preserve">15</w:t>
      </w:r>
      <w:r>
        <w:t xml:space="preserve">N-SIP, it was noticed that due</w:t>
      </w:r>
      <w:r>
        <w:t xml:space="preserve"> </w:t>
      </w:r>
      <w:r>
        <w:t xml:space="preserve">to the relatively small migration of </w:t>
      </w:r>
      <w:r>
        <w:rPr>
          <w:vertAlign w:val="superscript"/>
        </w:rPr>
        <w:t xml:space="preserve">15</w:t>
      </w:r>
      <w:r>
        <w:t xml:space="preserve">N-labelled DNA,</w:t>
      </w:r>
      <w:r>
        <w:t xml:space="preserve"> </w:t>
      </w:r>
      <w:r>
        <w:t xml:space="preserve">unlabelled DNA with high-G+C content could overlap with even</w:t>
      </w:r>
      <w:r>
        <w:t xml:space="preserve"> </w:t>
      </w:r>
      <w:r>
        <w:t xml:space="preserve">fully-labelled DNA of lower G+C content, and obscure the ability to</w:t>
      </w:r>
      <w:r>
        <w:t xml:space="preserve"> </w:t>
      </w:r>
      <w:r>
        <w:t xml:space="preserve">differentiate labelled from unlabelled taxa (Cupples et al. 2007; Youngblut and Buckley 2014). This is</w:t>
      </w:r>
      <w:r>
        <w:t xml:space="preserve"> </w:t>
      </w:r>
      <w:r>
        <w:t xml:space="preserve">further intensified by the fact that A-T base pairs contain only seven</w:t>
      </w:r>
      <w:r>
        <w:t xml:space="preserve"> </w:t>
      </w:r>
      <w:r>
        <w:t xml:space="preserve">nitrogen atoms compared to eight in a G-C base-pair, resulting in a</w:t>
      </w:r>
      <w:r>
        <w:t xml:space="preserve"> </w:t>
      </w:r>
      <w:r>
        <w:t xml:space="preserve">lower, albeit minor labelling of the A-T base pair (Cadisch et al. 2005). </w:t>
      </w:r>
    </w:p>
    <w:p>
      <w:pPr>
        <w:pStyle w:val="BodyText"/>
      </w:pPr>
      <w:r>
        <w:t xml:space="preserve">Surprisingly, while </w:t>
      </w:r>
      <w:r>
        <w:rPr>
          <w:vertAlign w:val="superscript"/>
        </w:rPr>
        <w:t xml:space="preserve">18</w:t>
      </w:r>
      <w:r>
        <w:t xml:space="preserve">O labelling should theoretically</w:t>
      </w:r>
      <w:r>
        <w:t xml:space="preserve"> </w:t>
      </w:r>
      <w:r>
        <w:t xml:space="preserve">increase the mass of DNA by 23% and of RNA by 47% compared to</w:t>
      </w:r>
      <w:r>
        <w:t xml:space="preserve"> </w:t>
      </w:r>
      <w:r>
        <w:t xml:space="preserve">labelling with </w:t>
      </w:r>
      <w:r>
        <w:rPr>
          <w:vertAlign w:val="superscript"/>
        </w:rPr>
        <w:t xml:space="preserve">13</w:t>
      </w:r>
      <w:r>
        <w:t xml:space="preserve">C, in practice the observed shifts in</w:t>
      </w:r>
      <w:r>
        <w:t xml:space="preserve"> </w:t>
      </w:r>
      <w:r>
        <w:t xml:space="preserve">BD in </w:t>
      </w:r>
      <w:r>
        <w:rPr>
          <w:vertAlign w:val="superscript"/>
        </w:rPr>
        <w:t xml:space="preserve">18</w:t>
      </w:r>
      <w:r>
        <w:t xml:space="preserve">O-SIP gradients are not much different than</w:t>
      </w:r>
      <w:r>
        <w:t xml:space="preserve"> </w:t>
      </w:r>
      <w:r>
        <w:t xml:space="preserve">in </w:t>
      </w:r>
      <w:r>
        <w:rPr>
          <w:vertAlign w:val="superscript"/>
        </w:rPr>
        <w:t xml:space="preserve">13</w:t>
      </w:r>
      <w:r>
        <w:t xml:space="preserve">C-SIP gradients (0.04 g ml-1)(Aanderud and Lennon 2011; Angel and Conrad 2013),</w:t>
      </w:r>
      <w:r>
        <w:t xml:space="preserve"> </w:t>
      </w:r>
      <w:r>
        <w:t xml:space="preserve">indicating that not all positions can be replaced with a heavy isotope.</w:t>
      </w:r>
    </w:p>
    <w:p>
      <w:pPr>
        <w:pStyle w:val="BodyText"/>
      </w:pPr>
      <w:r>
        <w:t xml:space="preserve">Deuterium has been used in SIP experiments coupled with either Raman</w:t>
      </w:r>
      <w:r>
        <w:t xml:space="preserve"> </w:t>
      </w:r>
      <w:r>
        <w:t xml:space="preserve">microspectroscopy (Berry et al. 2014) or</w:t>
      </w:r>
      <w:r>
        <w:t xml:space="preserve"> </w:t>
      </w:r>
      <w:r>
        <w:t xml:space="preserve">metabolomics (Baran et al. 2017), but because of the toxicity</w:t>
      </w:r>
      <w:r>
        <w:t xml:space="preserve"> </w:t>
      </w:r>
      <w:r>
        <w:t xml:space="preserve">of deuterated water (heavy water) at high concentrations, it is probably</w:t>
      </w:r>
      <w:r>
        <w:t xml:space="preserve"> </w:t>
      </w:r>
      <w:r>
        <w:t xml:space="preserve">not suitable for DNA or RNA-SIP.</w:t>
      </w:r>
    </w:p>
    <w:p>
      <w:pPr>
        <w:pStyle w:val="BodyText"/>
      </w:pPr>
      <w:r>
        <w:t xml:space="preserve">Considering these, it is easy to understand why carbon is the most</w:t>
      </w:r>
      <w:r>
        <w:t xml:space="preserve"> </w:t>
      </w:r>
      <w:r>
        <w:t xml:space="preserve">widely used isotope in SIP. Carbon is abundant enough in biomolecules to</w:t>
      </w:r>
      <w:r>
        <w:t xml:space="preserve"> </w:t>
      </w:r>
      <w:r>
        <w:t xml:space="preserve">allow for easy labelling. In many cases, carbon-based substrates are</w:t>
      </w:r>
      <w:r>
        <w:t xml:space="preserve"> </w:t>
      </w:r>
      <w:r>
        <w:t xml:space="preserve">used for both assimilatory and dissimilatory processes in the cell, so</w:t>
      </w:r>
      <w:r>
        <w:t xml:space="preserve"> </w:t>
      </w:r>
      <w:r>
        <w:t xml:space="preserve">biomass labelling is easily achieved using any of a selection of</w:t>
      </w:r>
      <w:r>
        <w:t xml:space="preserve"> </w:t>
      </w:r>
      <w:r>
        <w:t xml:space="preserve">different substrates. In contrast,  many N-transforming processes are</w:t>
      </w:r>
      <w:r>
        <w:t xml:space="preserve"> </w:t>
      </w:r>
      <w:r>
        <w:t xml:space="preserve">dissimilatory, while at the same time many N-assimilation processes are</w:t>
      </w:r>
      <w:r>
        <w:t xml:space="preserve"> </w:t>
      </w:r>
      <w:r>
        <w:t xml:space="preserve">common between different functional groups of microorganisms and</w:t>
      </w:r>
      <w:r>
        <w:t xml:space="preserve"> </w:t>
      </w:r>
      <w:r>
        <w:t xml:space="preserve">therefore provide relatively little differentiating power. Similarly,</w:t>
      </w:r>
      <w:r>
        <w:t xml:space="preserve"> </w:t>
      </w:r>
      <w:r>
        <w:t xml:space="preserve">oxygen is also found abundantly in various terminal electron acceptors</w:t>
      </w:r>
      <w:r>
        <w:t xml:space="preserve"> </w:t>
      </w:r>
      <w:r>
        <w:t xml:space="preserve">used for respiration, which are therefore unsuitable for SIP, or</w:t>
      </w:r>
      <w:r>
        <w:t xml:space="preserve"> </w:t>
      </w:r>
      <w:r>
        <w:t xml:space="preserve">alternatively in water, which is assimilated into the biomass by all</w:t>
      </w:r>
      <w:r>
        <w:t xml:space="preserve"> </w:t>
      </w:r>
      <w:r>
        <w:t xml:space="preserve">known organisms.</w:t>
      </w:r>
    </w:p>
    <w:p>
      <w:pPr>
        <w:pStyle w:val="Heading1"/>
      </w:pPr>
      <w:bookmarkStart w:id="23" w:name="setting-up-an-experiment"/>
      <w:bookmarkEnd w:id="23"/>
      <w:r>
        <w:t xml:space="preserve">Setting up an experiment</w:t>
      </w:r>
    </w:p>
    <w:p>
      <w:pPr>
        <w:pStyle w:val="FirstParagraph"/>
      </w:pPr>
      <w:r>
        <w:t xml:space="preserve">SIP experiments are usually relatively complex, laborious and</w:t>
      </w:r>
      <w:r>
        <w:t xml:space="preserve"> </w:t>
      </w:r>
      <w:r>
        <w:t xml:space="preserve">time-consuming, and can, therefore, fail because of various reasons and</w:t>
      </w:r>
      <w:r>
        <w:t xml:space="preserve"> </w:t>
      </w:r>
      <w:r>
        <w:t xml:space="preserve">at different stages. Thus, the experimental design of a SIP experiment</w:t>
      </w:r>
      <w:r>
        <w:t xml:space="preserve"> </w:t>
      </w:r>
      <w:r>
        <w:t xml:space="preserve">should be carefully considered in advance and cover all aspects and</w:t>
      </w:r>
      <w:r>
        <w:t xml:space="preserve"> </w:t>
      </w:r>
      <w:r>
        <w:t xml:space="preserve">phases, including preliminary knowledge of the environment and the</w:t>
      </w:r>
      <w:r>
        <w:t xml:space="preserve"> </w:t>
      </w:r>
      <w:r>
        <w:t xml:space="preserve">targeted process, the nature and duration of the incubation, through</w:t>
      </w:r>
      <w:r>
        <w:t xml:space="preserve"> </w:t>
      </w:r>
      <w:r>
        <w:t xml:space="preserve">possible pitfalls and down to the desired method of data analysis.</w:t>
      </w:r>
      <w:r>
        <w:t xml:space="preserve"> </w:t>
      </w:r>
      <w:r>
        <w:t xml:space="preserve">Before deciding on a SIP experiment, it is important to gain some</w:t>
      </w:r>
      <w:r>
        <w:t xml:space="preserve"> </w:t>
      </w:r>
      <w:r>
        <w:t xml:space="preserve">preliminary knowledge of the system in question</w:t>
      </w:r>
      <w:r>
        <w:rPr>
          <w:b/>
        </w:rPr>
        <w:t xml:space="preserve"> </w:t>
      </w:r>
      <w:r>
        <w:t xml:space="preserve">and the</w:t>
      </w:r>
      <w:r>
        <w:t xml:space="preserve"> </w:t>
      </w:r>
      <w:r>
        <w:t xml:space="preserve">microbial guild to be targeted. For SIP to be successful, sufficient</w:t>
      </w:r>
      <w:r>
        <w:t xml:space="preserve"> </w:t>
      </w:r>
      <w:r>
        <w:t xml:space="preserve">substrate needs to be processed and assimilated by the microbes during</w:t>
      </w:r>
      <w:r>
        <w:t xml:space="preserve"> </w:t>
      </w:r>
      <w:r>
        <w:t xml:space="preserve">the incubation period. Therefore, one of the first and most important</w:t>
      </w:r>
      <w:r>
        <w:t xml:space="preserve"> </w:t>
      </w:r>
      <w:r>
        <w:t xml:space="preserve">preliminary tests to perform is to measure the rate and dynamics of the</w:t>
      </w:r>
      <w:r>
        <w:t xml:space="preserve"> </w:t>
      </w:r>
      <w:r>
        <w:t xml:space="preserve">process in question to estimate the length of the incubation period that</w:t>
      </w:r>
      <w:r>
        <w:t xml:space="preserve"> </w:t>
      </w:r>
      <w:r>
        <w:t xml:space="preserve">is needed. Although the relationship between substrate consumption and</w:t>
      </w:r>
      <w:r>
        <w:t xml:space="preserve"> </w:t>
      </w:r>
      <w:r>
        <w:t xml:space="preserve">level of labelling depends on the assimilation efficiency and the size</w:t>
      </w:r>
      <w:r>
        <w:t xml:space="preserve"> </w:t>
      </w:r>
      <w:r>
        <w:t xml:space="preserve">of the active microbial guild and is therefore difficult to establish,</w:t>
      </w:r>
      <w:r>
        <w:t xml:space="preserve"> </w:t>
      </w:r>
      <w:r>
        <w:t xml:space="preserve">some insights and ballpark estimates can nevertheless be made. Also, it</w:t>
      </w:r>
      <w:r>
        <w:t xml:space="preserve"> </w:t>
      </w:r>
      <w:r>
        <w:t xml:space="preserve">is advisable to measure the enrichment level of the total DNA or RNA</w:t>
      </w:r>
      <w:r>
        <w:t xml:space="preserve"> </w:t>
      </w:r>
      <w:r>
        <w:t xml:space="preserve">extracted from the sample to assess if detection of labelled microbes</w:t>
      </w:r>
      <w:r>
        <w:t xml:space="preserve"> </w:t>
      </w:r>
      <w:r>
        <w:t xml:space="preserve">will be feasible (Angel et al. 2018; Manefield et al. 2002; Blazewicz and Schwartz 2011). Again, while it is impossible to</w:t>
      </w:r>
      <w:r>
        <w:t xml:space="preserve"> </w:t>
      </w:r>
      <w:r>
        <w:t xml:space="preserve">draw a general direct relation between the level of enrichment of</w:t>
      </w:r>
      <w:r>
        <w:t xml:space="preserve"> </w:t>
      </w:r>
      <w:r>
        <w:t xml:space="preserve">nucleic acids and the outcome of the SIP, because this will depend on</w:t>
      </w:r>
      <w:r>
        <w:t xml:space="preserve"> </w:t>
      </w:r>
      <w:r>
        <w:t xml:space="preserve">whether or not the label is concentrated within a small group of highly</w:t>
      </w:r>
      <w:r>
        <w:t xml:space="preserve"> </w:t>
      </w:r>
      <w:r>
        <w:t xml:space="preserve">labelled microbes or shared amongst many members, but a qualitative</w:t>
      </w:r>
      <w:r>
        <w:t xml:space="preserve"> </w:t>
      </w:r>
      <w:r>
        <w:t xml:space="preserve">relationship can nevertheless easily be drawn for specific environments</w:t>
      </w:r>
      <w:r>
        <w:t xml:space="preserve"> </w:t>
      </w:r>
      <w:r>
        <w:t xml:space="preserve">and microbial guilds.</w:t>
      </w:r>
    </w:p>
    <w:p>
      <w:pPr>
        <w:pStyle w:val="Heading2"/>
      </w:pPr>
      <w:bookmarkStart w:id="24" w:name="which-bio-molecule-to-target"/>
      <w:bookmarkEnd w:id="24"/>
      <w:r>
        <w:t xml:space="preserve">Which bio-molecule to</w:t>
      </w:r>
      <w:r>
        <w:t xml:space="preserve"> </w:t>
      </w:r>
      <w:r>
        <w:t xml:space="preserve">target </w:t>
      </w:r>
    </w:p>
    <w:p>
      <w:pPr>
        <w:pStyle w:val="FirstParagraph"/>
      </w:pPr>
      <w:r>
        <w:t xml:space="preserve">SIP was first designed to identify labelled microbes through the</w:t>
      </w:r>
      <w:r>
        <w:t xml:space="preserve"> </w:t>
      </w:r>
      <w:r>
        <w:t xml:space="preserve">incorporation of a stable isotope into their DNA (Radajewski et al. 2000).</w:t>
      </w:r>
      <w:r>
        <w:t xml:space="preserve"> </w:t>
      </w:r>
      <w:r>
        <w:t xml:space="preserve">While this is still the most commonly used</w:t>
      </w:r>
      <w:r>
        <w:t xml:space="preserve"> </w:t>
      </w:r>
      <w:r>
        <w:t xml:space="preserve">‘</w:t>
      </w:r>
      <w:r>
        <w:t xml:space="preserve">flavour</w:t>
      </w:r>
      <w:r>
        <w:t xml:space="preserve">’</w:t>
      </w:r>
      <w:r>
        <w:t xml:space="preserve"> </w:t>
      </w:r>
      <w:r>
        <w:t xml:space="preserve">of SIP, other types</w:t>
      </w:r>
      <w:r>
        <w:t xml:space="preserve"> </w:t>
      </w:r>
      <w:r>
        <w:t xml:space="preserve">of SIP quickly followed, since in essence nearly every stable</w:t>
      </w:r>
      <w:r>
        <w:t xml:space="preserve"> </w:t>
      </w:r>
      <w:r>
        <w:t xml:space="preserve">bio-molecule in the cell can be used as a target for SIP. Targeting DNA</w:t>
      </w:r>
      <w:r>
        <w:t xml:space="preserve"> </w:t>
      </w:r>
      <w:r>
        <w:t xml:space="preserve">is advantageous because DNA is the gold-standard for taxonomic</w:t>
      </w:r>
      <w:r>
        <w:t xml:space="preserve"> </w:t>
      </w:r>
      <w:r>
        <w:t xml:space="preserve">classification of organisms and for hypothesising about potential</w:t>
      </w:r>
      <w:r>
        <w:t xml:space="preserve"> </w:t>
      </w:r>
      <w:r>
        <w:t xml:space="preserve">functions. It is also popular because DNA amplification and sequencing</w:t>
      </w:r>
      <w:r>
        <w:t xml:space="preserve"> </w:t>
      </w:r>
      <w:r>
        <w:t xml:space="preserve">technologies are affordable and wide spread in most molecular and</w:t>
      </w:r>
      <w:r>
        <w:t xml:space="preserve"> </w:t>
      </w:r>
      <w:r>
        <w:t xml:space="preserve">microbiological labs. A protocol for targeting RNA instead of DNA in a</w:t>
      </w:r>
      <w:r>
        <w:t xml:space="preserve"> </w:t>
      </w:r>
      <w:r>
        <w:t xml:space="preserve">SIP experiment (Manefield et al. 2002) then quickly followed. RNA-SIP offers</w:t>
      </w:r>
      <w:r>
        <w:t xml:space="preserve"> </w:t>
      </w:r>
      <w:r>
        <w:t xml:space="preserve">the same taxonomic resolution power as DNA-SIP but because RNA synthesis</w:t>
      </w:r>
      <w:r>
        <w:t xml:space="preserve"> </w:t>
      </w:r>
      <w:r>
        <w:t xml:space="preserve">is uncoupled to cell replication it offers higher sensitivity, though at</w:t>
      </w:r>
      <w:r>
        <w:t xml:space="preserve"> </w:t>
      </w:r>
      <w:r>
        <w:t xml:space="preserve">the cost of a somewhat more laborious and sensitive lab work. A further</w:t>
      </w:r>
      <w:r>
        <w:t xml:space="preserve"> </w:t>
      </w:r>
      <w:r>
        <w:t xml:space="preserve">advantage of RNA-SIP is that unlike DNA, RNA does not migrate based on</w:t>
      </w:r>
      <w:r>
        <w:t xml:space="preserve"> </w:t>
      </w:r>
      <w:r>
        <w:t xml:space="preserve">its G+C content in a density gradient, so the potential for detecting</w:t>
      </w:r>
      <w:r>
        <w:t xml:space="preserve"> </w:t>
      </w:r>
      <w:r>
        <w:t xml:space="preserve">false-positives is theoretically lower (see</w:t>
      </w:r>
      <w:r>
        <w:t xml:space="preserve"> </w:t>
      </w:r>
      <w:r>
        <w:rPr>
          <w:b/>
        </w:rPr>
        <w:t xml:space="preserve">Sections </w:t>
      </w:r>
      <w:r>
        <w:t xml:space="preserve">???</w:t>
      </w:r>
      <w:r>
        <w:rPr>
          <w:b/>
        </w:rPr>
        <w:t xml:space="preserve">, </w:t>
      </w:r>
      <w:r>
        <w:t xml:space="preserve">???</w:t>
      </w:r>
      <w:r>
        <w:rPr>
          <w:b/>
        </w:rPr>
        <w:t xml:space="preserve"> and </w:t>
      </w:r>
      <w:r>
        <w:t xml:space="preserve">???</w:t>
      </w:r>
      <w:r>
        <w:t xml:space="preserve"> </w:t>
      </w:r>
      <w:r>
        <w:t xml:space="preserve">and in</w:t>
      </w:r>
      <w:r>
        <w:t xml:space="preserve"> </w:t>
      </w:r>
      <w:r>
        <w:rPr>
          <w:b/>
        </w:rPr>
        <w:t xml:space="preserve">Chapter 9 </w:t>
      </w:r>
      <w:r>
        <w:t xml:space="preserve">of this book). Targeting</w:t>
      </w:r>
      <w:r>
        <w:t xml:space="preserve"> </w:t>
      </w:r>
      <w:r>
        <w:t xml:space="preserve">PLFA (Boschker et al. 1998) is another popular way for running SIP that even</w:t>
      </w:r>
      <w:r>
        <w:t xml:space="preserve"> </w:t>
      </w:r>
      <w:r>
        <w:t xml:space="preserve">predates the use of DNA-SIP for detecting active microbes in the</w:t>
      </w:r>
      <w:r>
        <w:t xml:space="preserve"> </w:t>
      </w:r>
      <w:r>
        <w:t xml:space="preserve">environment.  Because of the use of an isotope-ratio mass spectrometer</w:t>
      </w:r>
      <w:r>
        <w:t xml:space="preserve"> </w:t>
      </w:r>
      <w:r>
        <w:t xml:space="preserve">(IRMS), which is capable of a much finer mass separation compared to</w:t>
      </w:r>
      <w:r>
        <w:t xml:space="preserve"> </w:t>
      </w:r>
      <w:r>
        <w:t xml:space="preserve">density gradient, PLFA-SIP offers significantly higher sensitivity over</w:t>
      </w:r>
      <w:r>
        <w:t xml:space="preserve"> </w:t>
      </w:r>
      <w:r>
        <w:t xml:space="preserve">DNA or RNA SIP, which can be important when studying organisms with very</w:t>
      </w:r>
      <w:r>
        <w:t xml:space="preserve"> </w:t>
      </w:r>
      <w:r>
        <w:t xml:space="preserve">low specific activity such as deep subsurface</w:t>
      </w:r>
      <w:r>
        <w:t xml:space="preserve"> </w:t>
      </w:r>
      <w:r>
        <w:t xml:space="preserve">microorganisms (Pelz et al. 2001)  or bacteria that oxidise atmospheric</w:t>
      </w:r>
      <w:r>
        <w:t xml:space="preserve"> </w:t>
      </w:r>
      <w:r>
        <w:t xml:space="preserve">methane (Knief, Lipski, and Dunfield 2003). However,  in addition to excluding the use</w:t>
      </w:r>
      <w:r>
        <w:t xml:space="preserve"> </w:t>
      </w:r>
      <w:r>
        <w:t xml:space="preserve">of  </w:t>
      </w:r>
      <w:r>
        <w:rPr>
          <w:vertAlign w:val="superscript"/>
        </w:rPr>
        <w:t xml:space="preserve">15</w:t>
      </w:r>
      <w:r>
        <w:t xml:space="preserve">N-labelled substrates, PLFA inherently offers a</w:t>
      </w:r>
      <w:r>
        <w:t xml:space="preserve"> </w:t>
      </w:r>
      <w:r>
        <w:t xml:space="preserve">much limited capacity for taxonomic affiliation of microbes compared to</w:t>
      </w:r>
      <w:r>
        <w:t xml:space="preserve"> </w:t>
      </w:r>
      <w:r>
        <w:t xml:space="preserve">DNA or RNA and can only differentiate between groups at broad</w:t>
      </w:r>
      <w:r>
        <w:t xml:space="preserve"> </w:t>
      </w:r>
      <w:r>
        <w:t xml:space="preserve">level (Evershed et al. 2006). Targeting proteins and metabolites is also an</w:t>
      </w:r>
      <w:r>
        <w:t xml:space="preserve"> </w:t>
      </w:r>
      <w:r>
        <w:t xml:space="preserve">option (e.g. (Baran et al. 2017; Jehmlich et al. 2008)),  thus providing a direct and</w:t>
      </w:r>
      <w:r>
        <w:t xml:space="preserve"> </w:t>
      </w:r>
      <w:r>
        <w:t xml:space="preserve">unquestionable proof of processing a labelled substrate. However these</w:t>
      </w:r>
      <w:r>
        <w:t xml:space="preserve"> </w:t>
      </w:r>
      <w:r>
        <w:t xml:space="preserve">methods are very laborious, low throughput and require significant</w:t>
      </w:r>
      <w:r>
        <w:t xml:space="preserve"> </w:t>
      </w:r>
      <w:r>
        <w:t xml:space="preserve">in-house experience in sample processing, and analysis of the output</w:t>
      </w:r>
      <w:r>
        <w:t xml:space="preserve"> </w:t>
      </w:r>
      <w:r>
        <w:t xml:space="preserve">data. Lastly, identification of isotopically labelled microbes at the</w:t>
      </w:r>
      <w:r>
        <w:t xml:space="preserve"> </w:t>
      </w:r>
      <w:r>
        <w:t xml:space="preserve">single-cell levels is also gaining interest lately using tools such as</w:t>
      </w:r>
      <w:r>
        <w:t xml:space="preserve"> </w:t>
      </w:r>
      <w:r>
        <w:t xml:space="preserve">NanoSIMS (Li et al. 2008) and</w:t>
      </w:r>
      <w:r>
        <w:t xml:space="preserve"> </w:t>
      </w:r>
      <w:r>
        <w:t xml:space="preserve">SIP-Raman (Wang et al. 2016) microspectroscopy, however their</w:t>
      </w:r>
      <w:r>
        <w:t xml:space="preserve"> </w:t>
      </w:r>
      <w:r>
        <w:t xml:space="preserve">application is still limited because they are costly, low-throughput and</w:t>
      </w:r>
      <w:r>
        <w:t xml:space="preserve"> </w:t>
      </w:r>
      <w:r>
        <w:t xml:space="preserve">relay on equipment that is found in only a handful of labs around the</w:t>
      </w:r>
      <w:r>
        <w:t xml:space="preserve"> </w:t>
      </w:r>
      <w:r>
        <w:t xml:space="preserve">world.</w:t>
      </w:r>
    </w:p>
    <w:p>
      <w:pPr>
        <w:pStyle w:val="Heading2"/>
      </w:pPr>
      <w:bookmarkStart w:id="25" w:name="duration-of-incubation"/>
      <w:bookmarkEnd w:id="25"/>
      <w:r>
        <w:t xml:space="preserve">Duration of incubation</w:t>
      </w:r>
    </w:p>
    <w:p>
      <w:pPr>
        <w:pStyle w:val="FirstParagraph"/>
      </w:pPr>
      <w:r>
        <w:t xml:space="preserve">As mentioned, incubation length will depend on the one hand on the rate</w:t>
      </w:r>
      <w:r>
        <w:t xml:space="preserve"> </w:t>
      </w:r>
      <w:r>
        <w:t xml:space="preserve">in which the process in question is proceeding and its specific</w:t>
      </w:r>
      <w:r>
        <w:t xml:space="preserve"> </w:t>
      </w:r>
      <w:r>
        <w:t xml:space="preserve">assimilation efficiency. Incubation in the presence of the labelled</w:t>
      </w:r>
      <w:r>
        <w:t xml:space="preserve"> </w:t>
      </w:r>
      <w:r>
        <w:t xml:space="preserve">substrate should allow enough time for the nucleic acids to become</w:t>
      </w:r>
      <w:r>
        <w:t xml:space="preserve"> </w:t>
      </w:r>
      <w:r>
        <w:t xml:space="preserve">sufficiently labelled to be detected above the background. For very fast</w:t>
      </w:r>
      <w:r>
        <w:t xml:space="preserve"> </w:t>
      </w:r>
      <w:r>
        <w:t xml:space="preserve">processes such as water uptake, incubation time can be as short as a few</w:t>
      </w:r>
      <w:r>
        <w:t xml:space="preserve"> </w:t>
      </w:r>
      <w:r>
        <w:t xml:space="preserve">hours (Blazewicz, Schwartz, and Firestone 2014; Angel and Conrad 2013), while for very slow processes, such as</w:t>
      </w:r>
      <w:r>
        <w:t xml:space="preserve"> </w:t>
      </w:r>
      <w:r>
        <w:t xml:space="preserve">nitrogen fixation, incubation can be as long as several days to</w:t>
      </w:r>
      <w:r>
        <w:t xml:space="preserve"> </w:t>
      </w:r>
      <w:r>
        <w:t xml:space="preserve">weeks (Angel et al. 2018; Buckley et al. 2007; Pepe-Ranney et al. 2015)</w:t>
      </w:r>
      <w:r>
        <w:rPr>
          <w:i/>
        </w:rPr>
        <w:t xml:space="preserve">. </w:t>
      </w:r>
      <w:r>
        <w:t xml:space="preserve">Incubation time should also vary if</w:t>
      </w:r>
      <w:r>
        <w:t xml:space="preserve"> </w:t>
      </w:r>
      <w:r>
        <w:t xml:space="preserve">targeting DNA or RNA. Labelling of RNA can be detected earlier because</w:t>
      </w:r>
      <w:r>
        <w:t xml:space="preserve"> </w:t>
      </w:r>
      <w:r>
        <w:t xml:space="preserve">it does not require cell replication and because its synthesis is not</w:t>
      </w:r>
      <w:r>
        <w:t xml:space="preserve"> </w:t>
      </w:r>
      <w:r>
        <w:t xml:space="preserve">semi-conservative as DNA replication (although this does not preclude a</w:t>
      </w:r>
      <w:r>
        <w:t xml:space="preserve"> </w:t>
      </w:r>
      <w:r>
        <w:t xml:space="preserve">significant dilution of newly synthesised RNA with light isotope as a</w:t>
      </w:r>
      <w:r>
        <w:t xml:space="preserve"> </w:t>
      </w:r>
      <w:r>
        <w:t xml:space="preserve">result of recycling of building blocks within the cell). In general, it</w:t>
      </w:r>
      <w:r>
        <w:t xml:space="preserve"> </w:t>
      </w:r>
      <w:r>
        <w:t xml:space="preserve">is assumed that DNA or RNA molecules should be labelled to at least 30</w:t>
      </w:r>
      <w:r>
        <w:t xml:space="preserve"> </w:t>
      </w:r>
      <w:r>
        <w:t xml:space="preserve">atomic % to differentiate them from unlabelled molecules in a BD</w:t>
      </w:r>
      <w:r>
        <w:t xml:space="preserve"> </w:t>
      </w:r>
      <w:r>
        <w:t xml:space="preserve">gradient (Buckley et al. 2007; Cadisch et al. 2005). On the other hand, long incubation times</w:t>
      </w:r>
      <w:r>
        <w:t xml:space="preserve"> </w:t>
      </w:r>
      <w:r>
        <w:t xml:space="preserve">bear the risk of labelling community members that do not perform the</w:t>
      </w:r>
      <w:r>
        <w:t xml:space="preserve"> </w:t>
      </w:r>
      <w:r>
        <w:t xml:space="preserve">metabolic activity in question but were labelled through cross-feeding.</w:t>
      </w:r>
      <w:r>
        <w:t xml:space="preserve"> </w:t>
      </w:r>
      <w:r>
        <w:t xml:space="preserve">Because microbes are interlinked through a network of trophic</w:t>
      </w:r>
      <w:r>
        <w:t xml:space="preserve"> </w:t>
      </w:r>
      <w:r>
        <w:t xml:space="preserve">interactions, any labelled element will eventually be spread amongst</w:t>
      </w:r>
      <w:r>
        <w:t xml:space="preserve"> </w:t>
      </w:r>
      <w:r>
        <w:t xml:space="preserve">many members of the community, regardless of how specific the process in</w:t>
      </w:r>
      <w:r>
        <w:t xml:space="preserve"> </w:t>
      </w:r>
      <w:r>
        <w:t xml:space="preserve">question is. Cross-feeding in isotope-labelling experiments has been</w:t>
      </w:r>
      <w:r>
        <w:t xml:space="preserve"> </w:t>
      </w:r>
      <w:r>
        <w:t xml:space="preserve">acknowledged from the start and has been shown for nitrogen as well as</w:t>
      </w:r>
      <w:r>
        <w:t xml:space="preserve"> </w:t>
      </w:r>
      <w:r>
        <w:t xml:space="preserve">carbon  (e.g., (McDonald, Radajewski, and Murrell 2005; Adam et al. 2015)). Although typically considered to be</w:t>
      </w:r>
      <w:r>
        <w:t xml:space="preserve"> </w:t>
      </w:r>
      <w:r>
        <w:t xml:space="preserve">an unwanted side effect in SIP experiments, cross-feeding has also been</w:t>
      </w:r>
      <w:r>
        <w:t xml:space="preserve"> </w:t>
      </w:r>
      <w:r>
        <w:t xml:space="preserve">taken advantage of many times to study substrate flow patterns microbial</w:t>
      </w:r>
      <w:r>
        <w:t xml:space="preserve"> </w:t>
      </w:r>
      <w:r>
        <w:t xml:space="preserve">interactions on a temporal scale (DeRito, Pumphrey, and Madsen 2005; Pepe-Ranney et al. 2016). Since</w:t>
      </w:r>
      <w:r>
        <w:t xml:space="preserve"> </w:t>
      </w:r>
      <w:r>
        <w:t xml:space="preserve">cross-feeding in a microbial community cannot simply be put to a halt,</w:t>
      </w:r>
      <w:r>
        <w:t xml:space="preserve"> </w:t>
      </w:r>
      <w:r>
        <w:t xml:space="preserve">the typical way of dealing with this issue is to sample at several time</w:t>
      </w:r>
      <w:r>
        <w:t xml:space="preserve"> </w:t>
      </w:r>
      <w:r>
        <w:t xml:space="preserve">points, limit the incubation time to the minimum necessary for labelling</w:t>
      </w:r>
      <w:r>
        <w:t xml:space="preserve"> </w:t>
      </w:r>
      <w:r>
        <w:t xml:space="preserve">and combine complementary lines of evidence when concluding that a</w:t>
      </w:r>
      <w:r>
        <w:t xml:space="preserve"> </w:t>
      </w:r>
      <w:r>
        <w:t xml:space="preserve">specific taxon indeed performs the metabolism in question.</w:t>
      </w:r>
    </w:p>
    <w:p>
      <w:pPr>
        <w:pStyle w:val="Heading2"/>
      </w:pPr>
      <w:bookmarkStart w:id="26" w:name="substrate-enrichment-level-and-concentration"/>
      <w:bookmarkEnd w:id="26"/>
      <w:r>
        <w:t xml:space="preserve">Substrate enrichment level and</w:t>
      </w:r>
      <w:r>
        <w:t xml:space="preserve"> </w:t>
      </w:r>
      <w:r>
        <w:t xml:space="preserve">concentration</w:t>
      </w:r>
    </w:p>
    <w:p>
      <w:pPr>
        <w:pStyle w:val="FirstParagraph"/>
      </w:pPr>
      <w:r>
        <w:t xml:space="preserve">Substrates used in SIP experiments are in almost all cases</w:t>
      </w:r>
      <w:r>
        <w:t xml:space="preserve"> </w:t>
      </w:r>
      <w:r>
        <w:t xml:space="preserve">“</w:t>
      </w:r>
      <w:r>
        <w:t xml:space="preserve">fully</w:t>
      </w:r>
      <w:r>
        <w:t xml:space="preserve">”</w:t>
      </w:r>
      <w:r>
        <w:t xml:space="preserve"> </w:t>
      </w:r>
      <w:r>
        <w:t xml:space="preserve">labelled, i.e., all positions are enriched with the labelled isotope to</w:t>
      </w:r>
      <w:r>
        <w:t xml:space="preserve"> </w:t>
      </w:r>
      <w:r>
        <w:t xml:space="preserve">the highest level possible (&gt;97 atomic %). This, of</w:t>
      </w:r>
      <w:r>
        <w:t xml:space="preserve"> </w:t>
      </w:r>
      <w:r>
        <w:t xml:space="preserve">course, stems from the need to achieve high levels of labelling in</w:t>
      </w:r>
      <w:r>
        <w:t xml:space="preserve"> </w:t>
      </w:r>
      <w:r>
        <w:t xml:space="preserve">nucleic acids to detect labelled microbes. However, labelling of carbon</w:t>
      </w:r>
      <w:r>
        <w:t xml:space="preserve"> </w:t>
      </w:r>
      <w:r>
        <w:t xml:space="preserve">only at specific positions could also be employed, for example, to study</w:t>
      </w:r>
      <w:r>
        <w:t xml:space="preserve"> </w:t>
      </w:r>
      <w:r>
        <w:t xml:space="preserve">microbial guilds that would attack the substrate at a specific position</w:t>
      </w:r>
      <w:r>
        <w:t xml:space="preserve"> </w:t>
      </w:r>
      <w:r>
        <w:t xml:space="preserve">of interest, while excluding others. The substrate concentration can</w:t>
      </w:r>
      <w:r>
        <w:t xml:space="preserve"> </w:t>
      </w:r>
      <w:r>
        <w:t xml:space="preserve">also affect the rate and strength of labelling, however, presenting a</w:t>
      </w:r>
      <w:r>
        <w:t xml:space="preserve"> </w:t>
      </w:r>
      <w:r>
        <w:t xml:space="preserve">sample with unrealistically high-concentrations can lead to undesired</w:t>
      </w:r>
      <w:r>
        <w:t xml:space="preserve"> </w:t>
      </w:r>
      <w:r>
        <w:t xml:space="preserve">consequences such as drastic community changes or a rapid enrichment of</w:t>
      </w:r>
      <w:r>
        <w:t xml:space="preserve"> </w:t>
      </w:r>
      <w:r>
        <w:t xml:space="preserve">a fast-growing sub-population with low substrate affinity. Therefore it</w:t>
      </w:r>
      <w:r>
        <w:t xml:space="preserve"> </w:t>
      </w:r>
      <w:r>
        <w:t xml:space="preserve">is best to remain within the range (typically on the higher end) of</w:t>
      </w:r>
      <w:r>
        <w:t xml:space="preserve"> </w:t>
      </w:r>
      <w:r>
        <w:t xml:space="preserve">substrate concentrations that are expected to be found in the</w:t>
      </w:r>
      <w:r>
        <w:t xml:space="preserve"> </w:t>
      </w:r>
      <w:r>
        <w:t xml:space="preserve">environment.</w:t>
      </w:r>
    </w:p>
    <w:p>
      <w:pPr>
        <w:pStyle w:val="Heading2"/>
      </w:pPr>
      <w:bookmarkStart w:id="27" w:name="amount-of-nucleic-acids-to-load"/>
      <w:bookmarkEnd w:id="27"/>
      <w:r>
        <w:t xml:space="preserve">Amount of nucleic acids to</w:t>
      </w:r>
      <w:r>
        <w:t xml:space="preserve"> </w:t>
      </w:r>
      <w:r>
        <w:t xml:space="preserve">load</w:t>
      </w:r>
    </w:p>
    <w:p>
      <w:pPr>
        <w:pStyle w:val="FirstParagraph"/>
      </w:pPr>
      <w:r>
        <w:t xml:space="preserve">Typical DNA-SIP gradients are prepared with 0.5</w:t>
      </w:r>
      <w:r>
        <w:rPr>
          <w:b/>
        </w:rPr>
        <w:t xml:space="preserve">–</w:t>
      </w:r>
      <w:r>
        <w:t xml:space="preserve">5 µg  of DNA,</w:t>
      </w:r>
      <w:r>
        <w:t xml:space="preserve"> </w:t>
      </w:r>
      <w:r>
        <w:t xml:space="preserve">but there does not seem to be a hard limit for the amount of DNA that</w:t>
      </w:r>
      <w:r>
        <w:t xml:space="preserve"> </w:t>
      </w:r>
      <w:r>
        <w:t xml:space="preserve">can be loaded on a gradient. For PCR purposes this amount should be more</w:t>
      </w:r>
      <w:r>
        <w:t xml:space="preserve"> </w:t>
      </w:r>
      <w:r>
        <w:t xml:space="preserve">than enough to target the rRNA or any other functional gene. For</w:t>
      </w:r>
      <w:r>
        <w:t xml:space="preserve"> </w:t>
      </w:r>
      <w:r>
        <w:t xml:space="preserve">metagenomic or metatranscriptomic sequencing of the fractions larger</w:t>
      </w:r>
      <w:r>
        <w:t xml:space="preserve"> </w:t>
      </w:r>
      <w:r>
        <w:t xml:space="preserve">amounts of the template will be needed. This can be achieved either by</w:t>
      </w:r>
      <w:r>
        <w:t xml:space="preserve"> </w:t>
      </w:r>
      <w:r>
        <w:t xml:space="preserve">pooling together several fractions from several different gradients or</w:t>
      </w:r>
      <w:r>
        <w:t xml:space="preserve"> </w:t>
      </w:r>
      <w:r>
        <w:t xml:space="preserve">by multiple displacement amplification (e.g., (Chen et al. 2008)). In</w:t>
      </w:r>
      <w:r>
        <w:t xml:space="preserve"> </w:t>
      </w:r>
      <w:r>
        <w:t xml:space="preserve">RNA-SIP gradients, overloading with RNA will cause aggregation that will</w:t>
      </w:r>
      <w:r>
        <w:t xml:space="preserve"> </w:t>
      </w:r>
      <w:r>
        <w:t xml:space="preserve">prevent efficient separation. The typical recommended amount is around</w:t>
      </w:r>
      <w:r>
        <w:t xml:space="preserve"> </w:t>
      </w:r>
      <w:r>
        <w:t xml:space="preserve">500 ng for a 5.5 ml gradient (Lueders, Manefield, and Friedrich 2003). However, this issue</w:t>
      </w:r>
      <w:r>
        <w:t xml:space="preserve"> </w:t>
      </w:r>
      <w:r>
        <w:t xml:space="preserve">was never been studied systematically.   </w:t>
      </w:r>
    </w:p>
    <w:p>
      <w:pPr>
        <w:pStyle w:val="Heading2"/>
      </w:pPr>
      <w:bookmarkStart w:id="28" w:name="number-of-fractions-to-collect-and-sequencing-depth"/>
      <w:bookmarkEnd w:id="28"/>
      <w:r>
        <w:t xml:space="preserve">Number of fractions to collect, and sequencing</w:t>
      </w:r>
      <w:r>
        <w:t xml:space="preserve"> </w:t>
      </w:r>
      <w:r>
        <w:t xml:space="preserve">depth</w:t>
      </w:r>
    </w:p>
    <w:p>
      <w:pPr>
        <w:pStyle w:val="FirstParagraph"/>
      </w:pPr>
      <w:r>
        <w:t xml:space="preserve">Regardless of which method is used for analysing the data, success in a</w:t>
      </w:r>
      <w:r>
        <w:t xml:space="preserve"> </w:t>
      </w:r>
      <w:r>
        <w:t xml:space="preserve">SIP experiment is determined by the ability to detect microbial</w:t>
      </w:r>
      <w:r>
        <w:t xml:space="preserve"> </w:t>
      </w:r>
      <w:r>
        <w:t xml:space="preserve">phylotypes that are present in the denser fractions of a labelled</w:t>
      </w:r>
      <w:r>
        <w:t xml:space="preserve"> </w:t>
      </w:r>
      <w:r>
        <w:t xml:space="preserve">gradient and are either absent or have lower abundance in the lighter</w:t>
      </w:r>
      <w:r>
        <w:t xml:space="preserve"> </w:t>
      </w:r>
      <w:r>
        <w:t xml:space="preserve">fractions of the same gradient, or in the denser fraction of a control</w:t>
      </w:r>
      <w:r>
        <w:t xml:space="preserve"> </w:t>
      </w:r>
      <w:r>
        <w:t xml:space="preserve">gradient. The detection limit in SIP experiments is itself not a fixed</w:t>
      </w:r>
      <w:r>
        <w:t xml:space="preserve"> </w:t>
      </w:r>
      <w:r>
        <w:t xml:space="preserve">value but will depend on the sequencing depth, the number of fractions</w:t>
      </w:r>
      <w:r>
        <w:t xml:space="preserve"> </w:t>
      </w:r>
      <w:r>
        <w:t xml:space="preserve">being collected from each gradient, and on which method is being used to</w:t>
      </w:r>
      <w:r>
        <w:t xml:space="preserve"> </w:t>
      </w:r>
      <w:r>
        <w:t xml:space="preserve">analyse the data (see</w:t>
      </w:r>
      <w:r>
        <w:t xml:space="preserve"> </w:t>
      </w:r>
      <w:r>
        <w:rPr>
          <w:b/>
        </w:rPr>
        <w:t xml:space="preserve">Section </w:t>
      </w:r>
      <w:r>
        <w:t xml:space="preserve">???</w:t>
      </w:r>
      <w:r>
        <w:t xml:space="preserve">).</w:t>
      </w:r>
      <w:r>
        <w:t xml:space="preserve"> </w:t>
      </w:r>
      <w:r>
        <w:t xml:space="preserve">Using state of the art sequencing technologies it is now easy to obtain</w:t>
      </w:r>
      <w:r>
        <w:t xml:space="preserve"> </w:t>
      </w:r>
      <w:r>
        <w:t xml:space="preserve">thousands of sequences per fraction. However, this, of course, comes at</w:t>
      </w:r>
      <w:r>
        <w:t xml:space="preserve"> </w:t>
      </w:r>
      <w:r>
        <w:t xml:space="preserve">a cost, which might not be necessary. It is therefore advisable, if</w:t>
      </w:r>
      <w:r>
        <w:t xml:space="preserve"> </w:t>
      </w:r>
      <w:r>
        <w:t xml:space="preserve">possible, to first obtain an estimate of the size of the microbial guild</w:t>
      </w:r>
      <w:r>
        <w:t xml:space="preserve"> </w:t>
      </w:r>
      <w:r>
        <w:t xml:space="preserve">in question in relation to the total microbial population, using for</w:t>
      </w:r>
      <w:r>
        <w:t xml:space="preserve"> </w:t>
      </w:r>
      <w:r>
        <w:t xml:space="preserve">example qPCR with primers targeting a functional gene or fluorescent</w:t>
      </w:r>
      <w:r>
        <w:t xml:space="preserve"> </w:t>
      </w:r>
      <w:r>
        <w:t xml:space="preserve">microscopy. The smaller the size of the target community, the harder it</w:t>
      </w:r>
      <w:r>
        <w:t xml:space="preserve"> </w:t>
      </w:r>
      <w:r>
        <w:t xml:space="preserve">will be to detect its labelling above the detection limit. Naturally,</w:t>
      </w:r>
      <w:r>
        <w:t xml:space="preserve"> </w:t>
      </w:r>
      <w:r>
        <w:t xml:space="preserve">this will almost inevitably be an overestimation since only a part of</w:t>
      </w:r>
      <w:r>
        <w:t xml:space="preserve"> </w:t>
      </w:r>
      <w:r>
        <w:t xml:space="preserve">the population will be active during the experiment and will eventually</w:t>
      </w:r>
      <w:r>
        <w:t xml:space="preserve"> </w:t>
      </w:r>
      <w:r>
        <w:t xml:space="preserve">incorporate the substrate, but this will at least give a minimum</w:t>
      </w:r>
      <w:r>
        <w:t xml:space="preserve"> </w:t>
      </w:r>
      <w:r>
        <w:t xml:space="preserve">threshold for the sequencing depth needed. The number of fractions</w:t>
      </w:r>
      <w:r>
        <w:t xml:space="preserve"> </w:t>
      </w:r>
      <w:r>
        <w:t xml:space="preserve">collected can also affect the detection limit. While a higher number of</w:t>
      </w:r>
      <w:r>
        <w:t xml:space="preserve"> </w:t>
      </w:r>
      <w:r>
        <w:t xml:space="preserve">fractions will most likely increase the sensitivity, it also entails</w:t>
      </w:r>
      <w:r>
        <w:t xml:space="preserve"> </w:t>
      </w:r>
      <w:r>
        <w:t xml:space="preserve">higher sample processing efforts and costs. In addition, more fractions</w:t>
      </w:r>
      <w:r>
        <w:t xml:space="preserve"> </w:t>
      </w:r>
      <w:r>
        <w:t xml:space="preserve">also mean less template per fraction and thus also an increased</w:t>
      </w:r>
      <w:r>
        <w:t xml:space="preserve"> </w:t>
      </w:r>
      <w:r>
        <w:t xml:space="preserve">difficulty to amplify the target and a higher chance of contamination</w:t>
      </w:r>
      <w:r>
        <w:t xml:space="preserve"> </w:t>
      </w:r>
      <w:r>
        <w:t xml:space="preserve">with foreign nucleic acids from the environment. Typically 12–20</w:t>
      </w:r>
      <w:r>
        <w:t xml:space="preserve"> </w:t>
      </w:r>
      <w:r>
        <w:t xml:space="preserve">fractions are collected, of which about 10–16 end up being analysed</w:t>
      </w:r>
      <w:r>
        <w:t xml:space="preserve"> </w:t>
      </w:r>
      <w:r>
        <w:t xml:space="preserve">because the lightest and heaviest fractions contain little to no nucleic</w:t>
      </w:r>
      <w:r>
        <w:t xml:space="preserve"> </w:t>
      </w:r>
      <w:r>
        <w:t xml:space="preserve">acids.</w:t>
      </w:r>
    </w:p>
    <w:p>
      <w:pPr>
        <w:pStyle w:val="Heading2"/>
      </w:pPr>
      <w:bookmarkStart w:id="29" w:name="unlabelled-controls"/>
      <w:bookmarkEnd w:id="29"/>
      <w:r>
        <w:t xml:space="preserve">Unlabelled controls</w:t>
      </w:r>
    </w:p>
    <w:p>
      <w:pPr>
        <w:pStyle w:val="FirstParagraph"/>
      </w:pPr>
      <w:r>
        <w:t xml:space="preserve">As in any lab experiment, appropriate label controls should be set up in</w:t>
      </w:r>
      <w:r>
        <w:t xml:space="preserve"> </w:t>
      </w:r>
      <w:r>
        <w:t xml:space="preserve">parallel to minimise the detection of false-positives. Many of the older</w:t>
      </w:r>
      <w:r>
        <w:t xml:space="preserve"> </w:t>
      </w:r>
      <w:r>
        <w:t xml:space="preserve">published works included only one or two controls, usually at the last</w:t>
      </w:r>
      <w:r>
        <w:t xml:space="preserve"> </w:t>
      </w:r>
      <w:r>
        <w:t xml:space="preserve">time point or at the highest amendment level.  Recently, however,</w:t>
      </w:r>
      <w:r>
        <w:t xml:space="preserve"> </w:t>
      </w:r>
      <w:r>
        <w:t xml:space="preserve">particularly with the growing use of high-throughput sequencing and</w:t>
      </w:r>
      <w:r>
        <w:t xml:space="preserve"> </w:t>
      </w:r>
      <w:r>
        <w:t xml:space="preserve">statistical models to detect labelled OTUs the need to include more</w:t>
      </w:r>
      <w:r>
        <w:t xml:space="preserve"> </w:t>
      </w:r>
      <w:r>
        <w:t xml:space="preserve">no-label controls in the experiment to correctly detect labelled</w:t>
      </w:r>
      <w:r>
        <w:t xml:space="preserve"> </w:t>
      </w:r>
      <w:r>
        <w:t xml:space="preserve">phylotypes has been growing, but on the other hand also became easier to</w:t>
      </w:r>
      <w:r>
        <w:t xml:space="preserve"> </w:t>
      </w:r>
      <w:r>
        <w:t xml:space="preserve">achieve. The exact number and type of no-label controls will depend on</w:t>
      </w:r>
      <w:r>
        <w:t xml:space="preserve"> </w:t>
      </w:r>
      <w:r>
        <w:t xml:space="preserve">the exact statistical method used to analyse the data, but also on the</w:t>
      </w:r>
      <w:r>
        <w:t xml:space="preserve"> </w:t>
      </w:r>
      <w:r>
        <w:t xml:space="preserve">type of SIP being performed since DNA-SIP is more prone to detecting</w:t>
      </w:r>
      <w:r>
        <w:t xml:space="preserve"> </w:t>
      </w:r>
      <w:r>
        <w:t xml:space="preserve">false positives than RNA-SIP because of the effect of the G+C-content on</w:t>
      </w:r>
      <w:r>
        <w:t xml:space="preserve"> </w:t>
      </w:r>
      <w:r>
        <w:t xml:space="preserve">DNA BD (see</w:t>
      </w:r>
      <w:r>
        <w:t xml:space="preserve"> </w:t>
      </w:r>
      <w:r>
        <w:rPr>
          <w:b/>
        </w:rPr>
        <w:t xml:space="preserve">Section </w:t>
      </w:r>
      <w:r>
        <w:t xml:space="preserve">???</w:t>
      </w:r>
      <w:r>
        <w:t xml:space="preserve">). Ideally,</w:t>
      </w:r>
      <w:r>
        <w:t xml:space="preserve"> </w:t>
      </w:r>
      <w:r>
        <w:t xml:space="preserve">every labelled sample will have its parallel no-label control. However,</w:t>
      </w:r>
      <w:r>
        <w:t xml:space="preserve"> </w:t>
      </w:r>
      <w:r>
        <w:t xml:space="preserve">this is very laborious and costly, and might not be needed. Since</w:t>
      </w:r>
      <w:r>
        <w:t xml:space="preserve"> </w:t>
      </w:r>
      <w:r>
        <w:t xml:space="preserve">RNA-SIP does not suffer from the bias caused by G+C-based migration as</w:t>
      </w:r>
      <w:r>
        <w:t xml:space="preserve"> </w:t>
      </w:r>
      <w:r>
        <w:t xml:space="preserve">in DNA-SIP, it is possible to compare fractions within a gradient,</w:t>
      </w:r>
      <w:r>
        <w:t xml:space="preserve"> </w:t>
      </w:r>
      <w:r>
        <w:t xml:space="preserve">rather than between gradients, and thus reduce the number of controls</w:t>
      </w:r>
      <w:r>
        <w:t xml:space="preserve"> </w:t>
      </w:r>
      <w:r>
        <w:t xml:space="preserve">(see</w:t>
      </w:r>
      <w:r>
        <w:t xml:space="preserve"> </w:t>
      </w:r>
      <w:r>
        <w:rPr>
          <w:b/>
        </w:rPr>
        <w:t xml:space="preserve">Section </w:t>
      </w:r>
      <w:r>
        <w:t xml:space="preserve">???</w:t>
      </w:r>
      <w:r>
        <w:t xml:space="preserve">). Similarly,</w:t>
      </w:r>
      <w:r>
        <w:t xml:space="preserve"> </w:t>
      </w:r>
      <w:r>
        <w:t xml:space="preserve">methods that are only interested in identifying labelling of a phylotype</w:t>
      </w:r>
      <w:r>
        <w:t xml:space="preserve"> </w:t>
      </w:r>
      <w:r>
        <w:t xml:space="preserve">(e.g., differential abundance) but not necessarily quantifying it (e.g.,</w:t>
      </w:r>
      <w:r>
        <w:t xml:space="preserve"> </w:t>
      </w:r>
      <w:r>
        <w:t xml:space="preserve">qSIP) remain robust even when some controls are omitted (see</w:t>
      </w:r>
      <w:r>
        <w:t xml:space="preserve"> </w:t>
      </w:r>
      <w:r>
        <w:rPr>
          <w:b/>
        </w:rPr>
        <w:t xml:space="preserve">Section </w:t>
      </w:r>
      <w:r>
        <w:t xml:space="preserve">???</w:t>
      </w:r>
      <w:r>
        <w:t xml:space="preserve"> and</w:t>
      </w:r>
      <w:r>
        <w:t xml:space="preserve"> </w:t>
      </w:r>
      <w:r>
        <w:rPr>
          <w:b/>
        </w:rPr>
        <w:t xml:space="preserve">Chapter</w:t>
      </w:r>
      <w:r>
        <w:rPr>
          <w:b/>
        </w:rPr>
        <w:t xml:space="preserve"> </w:t>
      </w:r>
      <w:r>
        <w:rPr>
          <w:b/>
        </w:rPr>
        <w:t xml:space="preserve">11</w:t>
      </w:r>
      <w:r>
        <w:t xml:space="preserve">). </w:t>
      </w:r>
    </w:p>
    <w:p>
      <w:pPr>
        <w:pStyle w:val="Heading2"/>
      </w:pPr>
      <w:bookmarkStart w:id="30" w:name="type-of-rotor"/>
      <w:bookmarkEnd w:id="30"/>
      <w:r>
        <w:t xml:space="preserve">Type of rotor</w:t>
      </w:r>
    </w:p>
    <w:p>
      <w:pPr>
        <w:pStyle w:val="FirstParagraph"/>
      </w:pPr>
      <w:r>
        <w:t xml:space="preserve">Traditionally a vertical rotor was preferred over a fixed-angle one for</w:t>
      </w:r>
      <w:r>
        <w:t xml:space="preserve"> </w:t>
      </w:r>
      <w:r>
        <w:t xml:space="preserve">SIP experiments because it provides a shallower gradient and therefore a</w:t>
      </w:r>
      <w:r>
        <w:t xml:space="preserve"> </w:t>
      </w:r>
      <w:r>
        <w:t xml:space="preserve">higher degree of separation between densities. Recent modelling work</w:t>
      </w:r>
      <w:r>
        <w:t xml:space="preserve"> </w:t>
      </w:r>
      <w:r>
        <w:t xml:space="preserve">suggests, however, that this comes at the cost of a higher diffusion of</w:t>
      </w:r>
      <w:r>
        <w:t xml:space="preserve"> </w:t>
      </w:r>
      <w:r>
        <w:t xml:space="preserve">nucleic acids throughout the gradient (and thus leading to a higher</w:t>
      </w:r>
      <w:r>
        <w:t xml:space="preserve"> </w:t>
      </w:r>
      <w:r>
        <w:t xml:space="preserve">background) (Youngblut, Barnett, and Buckley 2018). Both rotor types were successfully used</w:t>
      </w:r>
      <w:r>
        <w:t xml:space="preserve"> </w:t>
      </w:r>
      <w:r>
        <w:t xml:space="preserve">for </w:t>
      </w:r>
      <w:r>
        <w:rPr>
          <w:vertAlign w:val="superscript"/>
        </w:rPr>
        <w:t xml:space="preserve">15</w:t>
      </w:r>
      <w:r>
        <w:t xml:space="preserve">N-SIP, but to date, no experimental comparison</w:t>
      </w:r>
      <w:r>
        <w:t xml:space="preserve"> </w:t>
      </w:r>
      <w:r>
        <w:t xml:space="preserve">was published.</w:t>
      </w:r>
    </w:p>
    <w:p>
      <w:pPr>
        <w:pStyle w:val="Heading1"/>
      </w:pPr>
      <w:bookmarkStart w:id="31" w:name="data-analysis"/>
      <w:bookmarkEnd w:id="31"/>
      <w:r>
        <w:t xml:space="preserve">Data analysis</w:t>
      </w:r>
    </w:p>
    <w:p>
      <w:pPr>
        <w:pStyle w:val="Heading2"/>
      </w:pPr>
      <w:bookmarkStart w:id="32" w:name="analysis-of-barcoded-amplicon-data-for-sip"/>
      <w:bookmarkEnd w:id="32"/>
      <w:r>
        <w:t xml:space="preserve">Analysis of barcoded amplicon data for</w:t>
      </w:r>
      <w:r>
        <w:t xml:space="preserve"> </w:t>
      </w:r>
      <w:r>
        <w:t xml:space="preserve">SIP</w:t>
      </w:r>
    </w:p>
    <w:p>
      <w:pPr>
        <w:pStyle w:val="FirstParagraph"/>
      </w:pPr>
      <w:r>
        <w:t xml:space="preserve">Arguably, the most significant advancement in the field of DNA- and</w:t>
      </w:r>
      <w:r>
        <w:t xml:space="preserve"> </w:t>
      </w:r>
      <w:r>
        <w:t xml:space="preserve">RNA-SIP  in recent years came from the introduction of high-throughput</w:t>
      </w:r>
      <w:r>
        <w:t xml:space="preserve"> </w:t>
      </w:r>
      <w:r>
        <w:t xml:space="preserve">sequencing techniques and their adoption to the study of microbial</w:t>
      </w:r>
      <w:r>
        <w:t xml:space="preserve"> </w:t>
      </w:r>
      <w:r>
        <w:t xml:space="preserve">communities using barcoded amplicon sequencing (Xia et al. 2011; Lee et al. 2011; Pilloni et al. 2011).  The</w:t>
      </w:r>
      <w:r>
        <w:t xml:space="preserve"> </w:t>
      </w:r>
      <w:r>
        <w:t xml:space="preserve">ability to sequence dozens of samples simultaneously to a very high</w:t>
      </w:r>
      <w:r>
        <w:t xml:space="preserve"> </w:t>
      </w:r>
      <w:r>
        <w:t xml:space="preserve">depth meant that it was now possible to identify rare taxa that were</w:t>
      </w:r>
      <w:r>
        <w:t xml:space="preserve"> </w:t>
      </w:r>
      <w:r>
        <w:t xml:space="preserve">labelled but also taxa that are only partially labelled. Before the</w:t>
      </w:r>
      <w:r>
        <w:t xml:space="preserve"> </w:t>
      </w:r>
      <w:r>
        <w:t xml:space="preserve">adoption of high-throughput sequencing (HT-sequencing), successful</w:t>
      </w:r>
      <w:r>
        <w:t xml:space="preserve"> </w:t>
      </w:r>
      <w:r>
        <w:t xml:space="preserve">labelling of DNA or RNA was done visually, either by detecting a second</w:t>
      </w:r>
      <w:r>
        <w:t xml:space="preserve"> </w:t>
      </w:r>
      <w:r>
        <w:t xml:space="preserve">band of nucleic acids under UV light following ethidium bromide staining</w:t>
      </w:r>
      <w:r>
        <w:t xml:space="preserve"> </w:t>
      </w:r>
      <w:r>
        <w:t xml:space="preserve">or fractionating the gradient into multiple fractions, amplifying the</w:t>
      </w:r>
      <w:r>
        <w:t xml:space="preserve"> </w:t>
      </w:r>
      <w:r>
        <w:t xml:space="preserve">nucleic acids using PCR or qPCR and evaluating the intensity of the</w:t>
      </w:r>
      <w:r>
        <w:t xml:space="preserve"> </w:t>
      </w:r>
      <w:r>
        <w:t xml:space="preserve">bands or copy numbers. The use of fingerprinting techniques such as DGGE</w:t>
      </w:r>
      <w:r>
        <w:t xml:space="preserve"> </w:t>
      </w:r>
      <w:r>
        <w:t xml:space="preserve">and TRFLP enabled not only a more sensitive comparison between fractions</w:t>
      </w:r>
      <w:r>
        <w:t xml:space="preserve"> </w:t>
      </w:r>
      <w:r>
        <w:t xml:space="preserve">but also a direct, albeit qualitative, insight into how many phylotypes</w:t>
      </w:r>
      <w:r>
        <w:t xml:space="preserve"> </w:t>
      </w:r>
      <w:r>
        <w:t xml:space="preserve">were labelled. However, it still suffered from low resolution and a high</w:t>
      </w:r>
      <w:r>
        <w:t xml:space="preserve"> </w:t>
      </w:r>
      <w:r>
        <w:t xml:space="preserve">degree of noise that are inherent to these methods. Moreover, the</w:t>
      </w:r>
      <w:r>
        <w:t xml:space="preserve"> </w:t>
      </w:r>
      <w:r>
        <w:t xml:space="preserve">unequivocal identification of the labelled microbes was still</w:t>
      </w:r>
      <w:r>
        <w:t xml:space="preserve"> </w:t>
      </w:r>
      <w:r>
        <w:t xml:space="preserve">low-throughput, laborious and costly since it required the construction</w:t>
      </w:r>
      <w:r>
        <w:t xml:space="preserve"> </w:t>
      </w:r>
      <w:r>
        <w:t xml:space="preserve">of clone libraries followed by Sanger sequencing. Barcoded amplicon</w:t>
      </w:r>
      <w:r>
        <w:t xml:space="preserve"> </w:t>
      </w:r>
      <w:r>
        <w:t xml:space="preserve">sequencing allows for robust, semi quantitative comparison of different</w:t>
      </w:r>
      <w:r>
        <w:t xml:space="preserve"> </w:t>
      </w:r>
      <w:r>
        <w:t xml:space="preserve">fractions along a density gradient, as well as an identification of the</w:t>
      </w:r>
      <w:r>
        <w:t xml:space="preserve"> </w:t>
      </w:r>
      <w:r>
        <w:t xml:space="preserve">identity of which microbes became labelled and which did not. Moreover,</w:t>
      </w:r>
      <w:r>
        <w:t xml:space="preserve"> </w:t>
      </w:r>
      <w:r>
        <w:t xml:space="preserve">the ability to obtain thousands of sequences per sample meant that even</w:t>
      </w:r>
      <w:r>
        <w:t xml:space="preserve"> </w:t>
      </w:r>
      <w:r>
        <w:t xml:space="preserve">labelling of minor members of the community could be detected —</w:t>
      </w:r>
      <w:r>
        <w:t xml:space="preserve"> </w:t>
      </w:r>
      <w:r>
        <w:t xml:space="preserve">something that could not be achieved with standard molecular</w:t>
      </w:r>
      <w:r>
        <w:t xml:space="preserve"> </w:t>
      </w:r>
      <w:r>
        <w:t xml:space="preserve">fingerprinting techniques or Sanger sequencing. The adoption of</w:t>
      </w:r>
      <w:r>
        <w:t xml:space="preserve"> </w:t>
      </w:r>
      <w:r>
        <w:t xml:space="preserve">HT-sequencing technologies also called for new analytical methods that</w:t>
      </w:r>
      <w:r>
        <w:t xml:space="preserve"> </w:t>
      </w:r>
      <w:r>
        <w:t xml:space="preserve">could take advantage of this increase in sensitivity through statistical</w:t>
      </w:r>
      <w:r>
        <w:t xml:space="preserve"> </w:t>
      </w:r>
      <w:r>
        <w:t xml:space="preserve">modelling and enable robust detection of either minor or partially</w:t>
      </w:r>
      <w:r>
        <w:t xml:space="preserve"> </w:t>
      </w:r>
      <w:r>
        <w:t xml:space="preserve">labelled members of the active guild (Zemb et al. 2012; Zumsteg, Schmutz, and Frey 2013). However,</w:t>
      </w:r>
      <w:r>
        <w:t xml:space="preserve"> </w:t>
      </w:r>
      <w:r>
        <w:t xml:space="preserve">alongside with added sensitivity barcoded amplicon sequencing also</w:t>
      </w:r>
      <w:r>
        <w:t xml:space="preserve"> </w:t>
      </w:r>
      <w:r>
        <w:t xml:space="preserve">presents some challenges for comparing samples because it is difficult</w:t>
      </w:r>
      <w:r>
        <w:t xml:space="preserve"> </w:t>
      </w:r>
      <w:r>
        <w:t xml:space="preserve">to control the number of sequences per sample, also known as the library</w:t>
      </w:r>
      <w:r>
        <w:t xml:space="preserve"> </w:t>
      </w:r>
      <w:r>
        <w:t xml:space="preserve">depth. The problem is not unique to analysing SIP experiments and poses</w:t>
      </w:r>
      <w:r>
        <w:t xml:space="preserve"> </w:t>
      </w:r>
      <w:r>
        <w:t xml:space="preserve">a major analytical challenge in the field of microbiome studies and</w:t>
      </w:r>
      <w:r>
        <w:t xml:space="preserve"> </w:t>
      </w:r>
      <w:r>
        <w:t xml:space="preserve">comparative transcriptomics (RNA-Seq). In essence, most statistical</w:t>
      </w:r>
      <w:r>
        <w:t xml:space="preserve"> </w:t>
      </w:r>
      <w:r>
        <w:t xml:space="preserve">methods used for comparison assume that across different samples,</w:t>
      </w:r>
      <w:r>
        <w:t xml:space="preserve"> </w:t>
      </w:r>
      <w:r>
        <w:t xml:space="preserve">templates with identical relative abundance should have equal chances of</w:t>
      </w:r>
      <w:r>
        <w:t xml:space="preserve"> </w:t>
      </w:r>
      <w:r>
        <w:t xml:space="preserve">being sequenced and thus any observed differences are an indication that</w:t>
      </w:r>
      <w:r>
        <w:t xml:space="preserve"> </w:t>
      </w:r>
      <w:r>
        <w:t xml:space="preserve">the true abundance of the given sequence differs between the samples. In</w:t>
      </w:r>
      <w:r>
        <w:t xml:space="preserve"> </w:t>
      </w:r>
      <w:r>
        <w:t xml:space="preserve">ecology, the issue is known as</w:t>
      </w:r>
      <w:r>
        <w:t xml:space="preserve"> </w:t>
      </w:r>
      <w:r>
        <w:t xml:space="preserve">“</w:t>
      </w:r>
      <w:r>
        <w:t xml:space="preserve">sampling effort</w:t>
      </w:r>
      <w:r>
        <w:t xml:space="preserve">”</w:t>
      </w:r>
      <w:r>
        <w:t xml:space="preserve">. Traditionally, the</w:t>
      </w:r>
      <w:r>
        <w:t xml:space="preserve"> </w:t>
      </w:r>
      <w:r>
        <w:t xml:space="preserve">most common way to alleviate the problem of unequal sequencing depths</w:t>
      </w:r>
      <w:r>
        <w:t xml:space="preserve"> </w:t>
      </w:r>
      <w:r>
        <w:t xml:space="preserve">was to randomly sub-sample sequences from each sample down to the</w:t>
      </w:r>
      <w:r>
        <w:t xml:space="preserve"> </w:t>
      </w:r>
      <w:r>
        <w:t xml:space="preserve">smallest sample size so that all samples become equal (a process</w:t>
      </w:r>
      <w:r>
        <w:t xml:space="preserve"> </w:t>
      </w:r>
      <w:r>
        <w:t xml:space="preserve">sometimes called</w:t>
      </w:r>
      <w:r>
        <w:t xml:space="preserve"> </w:t>
      </w:r>
      <w:r>
        <w:t xml:space="preserve">“</w:t>
      </w:r>
      <w:r>
        <w:t xml:space="preserve">rarefaction</w:t>
      </w:r>
      <w:r>
        <w:t xml:space="preserve">”</w:t>
      </w:r>
      <w:r>
        <w:t xml:space="preserve">). This practice, however, came under</w:t>
      </w:r>
      <w:r>
        <w:t xml:space="preserve"> </w:t>
      </w:r>
      <w:r>
        <w:t xml:space="preserve">scrutiny in recent years and sparked some heated polemic papers on how</w:t>
      </w:r>
      <w:r>
        <w:t xml:space="preserve"> </w:t>
      </w:r>
      <w:r>
        <w:t xml:space="preserve">to best handle microbiome data (McMurdie and Holmes 2014). While the severity of</w:t>
      </w:r>
      <w:r>
        <w:t xml:space="preserve"> </w:t>
      </w:r>
      <w:r>
        <w:t xml:space="preserve">the bias caused by random sub-sampling is debated, it is generally</w:t>
      </w:r>
      <w:r>
        <w:t xml:space="preserve"> </w:t>
      </w:r>
      <w:r>
        <w:t xml:space="preserve">accepted that this is a sub-optimal way to deal with the problem.</w:t>
      </w:r>
      <w:r>
        <w:t xml:space="preserve"> </w:t>
      </w:r>
      <w:r>
        <w:t xml:space="preserve">Another common approach is to convert all abundances to relative</w:t>
      </w:r>
      <w:r>
        <w:t xml:space="preserve"> </w:t>
      </w:r>
      <w:r>
        <w:t xml:space="preserve">abundances and compare the different sequences on a fraction (or</w:t>
      </w:r>
      <w:r>
        <w:t xml:space="preserve"> </w:t>
      </w:r>
      <w:r>
        <w:t xml:space="preserve">percentage) basis. This, however, leads to other problems since it</w:t>
      </w:r>
      <w:r>
        <w:t xml:space="preserve"> </w:t>
      </w:r>
      <w:r>
        <w:t xml:space="preserve">maintains the correlation between sequencing depth and the number of</w:t>
      </w:r>
      <w:r>
        <w:t xml:space="preserve"> </w:t>
      </w:r>
      <w:r>
        <w:t xml:space="preserve">unique sequences (or OTUs) while at the same time drastically reducing</w:t>
      </w:r>
      <w:r>
        <w:t xml:space="preserve"> </w:t>
      </w:r>
      <w:r>
        <w:t xml:space="preserve">the number of degrees of freedom by coercing the sum of abundance in</w:t>
      </w:r>
      <w:r>
        <w:t xml:space="preserve"> </w:t>
      </w:r>
      <w:r>
        <w:t xml:space="preserve">each sample to 100% (Faust and Raes 2012). More recent methods try to</w:t>
      </w:r>
      <w:r>
        <w:t xml:space="preserve"> </w:t>
      </w:r>
      <w:r>
        <w:t xml:space="preserve">“</w:t>
      </w:r>
      <w:r>
        <w:t xml:space="preserve">eat the cake and leave it whole</w:t>
      </w:r>
      <w:r>
        <w:t xml:space="preserve">”</w:t>
      </w:r>
      <w:r>
        <w:t xml:space="preserve"> </w:t>
      </w:r>
      <w:r>
        <w:t xml:space="preserve">by attempting to equalise the</w:t>
      </w:r>
      <w:r>
        <w:t xml:space="preserve"> </w:t>
      </w:r>
      <w:r>
        <w:t xml:space="preserve">variance between samples through a scaling factor while not discarding</w:t>
      </w:r>
      <w:r>
        <w:t xml:space="preserve"> </w:t>
      </w:r>
      <w:r>
        <w:t xml:space="preserve">any data (covered in (Weiss et al. 2017)). Whichever method is chosen, it</w:t>
      </w:r>
      <w:r>
        <w:t xml:space="preserve"> </w:t>
      </w:r>
      <w:r>
        <w:t xml:space="preserve">is important to remember that no statistical trick can solve the</w:t>
      </w:r>
      <w:r>
        <w:t xml:space="preserve"> </w:t>
      </w:r>
      <w:r>
        <w:t xml:space="preserve">inherent problems that stem from large differences in library sizes and</w:t>
      </w:r>
      <w:r>
        <w:t xml:space="preserve"> </w:t>
      </w:r>
      <w:r>
        <w:t xml:space="preserve">these should be handled at the level of sample preparation or sequencing</w:t>
      </w:r>
      <w:r>
        <w:t xml:space="preserve"> </w:t>
      </w:r>
      <w:r>
        <w:t xml:space="preserve">and not data analysis.</w:t>
      </w:r>
    </w:p>
    <w:p>
      <w:pPr>
        <w:pStyle w:val="Heading2"/>
      </w:pPr>
      <w:bookmarkStart w:id="33" w:name="differential-abundance-analysis-and-quantitative-analysis"/>
      <w:bookmarkEnd w:id="33"/>
      <w:r>
        <w:t xml:space="preserve">Differential abundance analysis and quantitative</w:t>
      </w:r>
      <w:r>
        <w:t xml:space="preserve"> </w:t>
      </w:r>
      <w:r>
        <w:t xml:space="preserve">analysis</w:t>
      </w:r>
    </w:p>
    <w:p>
      <w:pPr>
        <w:pStyle w:val="FirstParagraph"/>
      </w:pPr>
      <w:r>
        <w:t xml:space="preserve">The most common methods for comparing fractions in SIP experiments were</w:t>
      </w:r>
      <w:r>
        <w:t xml:space="preserve"> </w:t>
      </w:r>
      <w:r>
        <w:t xml:space="preserve">developed for analysing RNA-Seq datasets. The parallels are apparent;</w:t>
      </w:r>
      <w:r>
        <w:t xml:space="preserve"> </w:t>
      </w:r>
      <w:r>
        <w:t xml:space="preserve">typical RNA-Seq experiments are designed as a case-control study and the</w:t>
      </w:r>
      <w:r>
        <w:t xml:space="preserve"> </w:t>
      </w:r>
      <w:r>
        <w:t xml:space="preserve">analytical challenge is to identify which sequences are differentially</w:t>
      </w:r>
      <w:r>
        <w:t xml:space="preserve"> </w:t>
      </w:r>
      <w:r>
        <w:t xml:space="preserve">expressed (either up-regulated or down-regulated) compared to the</w:t>
      </w:r>
      <w:r>
        <w:t xml:space="preserve"> </w:t>
      </w:r>
      <w:r>
        <w:t xml:space="preserve">control, while overcoming the natural variance and differences in</w:t>
      </w:r>
      <w:r>
        <w:t xml:space="preserve"> </w:t>
      </w:r>
      <w:r>
        <w:t xml:space="preserve">library sizes. Similarly, in SIP experiments one would like to identify</w:t>
      </w:r>
      <w:r>
        <w:t xml:space="preserve"> </w:t>
      </w:r>
      <w:r>
        <w:t xml:space="preserve">which sequences are</w:t>
      </w:r>
      <w:r>
        <w:t xml:space="preserve"> </w:t>
      </w:r>
      <w:r>
        <w:t xml:space="preserve">“</w:t>
      </w:r>
      <w:r>
        <w:t xml:space="preserve">differentially abundant</w:t>
      </w:r>
      <w:r>
        <w:t xml:space="preserve">”</w:t>
      </w:r>
      <w:r>
        <w:t xml:space="preserve"> </w:t>
      </w:r>
      <w:r>
        <w:t xml:space="preserve">in the fractions where</w:t>
      </w:r>
      <w:r>
        <w:t xml:space="preserve"> </w:t>
      </w:r>
      <w:r>
        <w:t xml:space="preserve">labelled nucleic acids are expected to be present compared to those</w:t>
      </w:r>
      <w:r>
        <w:t xml:space="preserve"> </w:t>
      </w:r>
      <w:r>
        <w:t xml:space="preserve">where unlabelled nucleic acids are present. An important difference to</w:t>
      </w:r>
      <w:r>
        <w:t xml:space="preserve"> </w:t>
      </w:r>
      <w:r>
        <w:t xml:space="preserve">RNA-Seq experiments is, however, that only enriched sequences in the</w:t>
      </w:r>
      <w:r>
        <w:t xml:space="preserve"> </w:t>
      </w:r>
      <w:r>
        <w:t xml:space="preserve">‘</w:t>
      </w:r>
      <w:r>
        <w:t xml:space="preserve">heavy</w:t>
      </w:r>
      <w:r>
        <w:t xml:space="preserve">’</w:t>
      </w:r>
      <w:r>
        <w:t xml:space="preserve"> </w:t>
      </w:r>
      <w:r>
        <w:t xml:space="preserve">fractions are of interest, while depleted sequences should only</w:t>
      </w:r>
      <w:r>
        <w:t xml:space="preserve"> </w:t>
      </w:r>
      <w:r>
        <w:t xml:space="preserve">occur when labelling is strong enough to displace unlabelled sequences</w:t>
      </w:r>
      <w:r>
        <w:t xml:space="preserve"> </w:t>
      </w:r>
      <w:r>
        <w:t xml:space="preserve">from the</w:t>
      </w:r>
      <w:r>
        <w:t xml:space="preserve"> </w:t>
      </w:r>
      <w:r>
        <w:t xml:space="preserve">‘</w:t>
      </w:r>
      <w:r>
        <w:t xml:space="preserve">light</w:t>
      </w:r>
      <w:r>
        <w:t xml:space="preserve">’</w:t>
      </w:r>
      <w:r>
        <w:t xml:space="preserve"> </w:t>
      </w:r>
      <w:r>
        <w:t xml:space="preserve">fractions to a noticeable degree. Nearly all existing</w:t>
      </w:r>
      <w:r>
        <w:t xml:space="preserve"> </w:t>
      </w:r>
      <w:r>
        <w:t xml:space="preserve">data analysis methods should apply to both DNA- and RNA-SIP, albeit with</w:t>
      </w:r>
      <w:r>
        <w:t xml:space="preserve"> </w:t>
      </w:r>
      <w:r>
        <w:t xml:space="preserve">some differences. This book offers two recent and very robust ways to</w:t>
      </w:r>
      <w:r>
        <w:t xml:space="preserve"> </w:t>
      </w:r>
      <w:r>
        <w:t xml:space="preserve">analyse SIP datasets: quantitative SIP (qSIP;</w:t>
      </w:r>
      <w:r>
        <w:t xml:space="preserve"> </w:t>
      </w:r>
      <w:r>
        <w:rPr>
          <w:b/>
        </w:rPr>
        <w:t xml:space="preserve">Chapter 11</w:t>
      </w:r>
      <w:r>
        <w:t xml:space="preserve">) and</w:t>
      </w:r>
      <w:r>
        <w:t xml:space="preserve"> </w:t>
      </w:r>
      <w:r>
        <w:t xml:space="preserve">High-Resolution SIP (HR-SIP;</w:t>
      </w:r>
      <w:r>
        <w:t xml:space="preserve"> </w:t>
      </w:r>
      <w:r>
        <w:rPr>
          <w:b/>
        </w:rPr>
        <w:t xml:space="preserve">Chapter 9</w:t>
      </w:r>
      <w:r>
        <w:t xml:space="preserve">). Both yield similar</w:t>
      </w:r>
      <w:r>
        <w:t xml:space="preserve"> </w:t>
      </w:r>
      <w:r>
        <w:t xml:space="preserve">results, but they nevertheless differ in some details (discussed</w:t>
      </w:r>
      <w:r>
        <w:t xml:space="preserve"> </w:t>
      </w:r>
      <w:r>
        <w:t xml:space="preserve">in (Youngblut, Barnett, and Buckley 2018)). While High-Resolution SIP, like all other</w:t>
      </w:r>
      <w:r>
        <w:t xml:space="preserve"> </w:t>
      </w:r>
      <w:r>
        <w:t xml:space="preserve">differential abundance methods, aims only at detecting labelled</w:t>
      </w:r>
      <w:r>
        <w:t xml:space="preserve"> </w:t>
      </w:r>
      <w:r>
        <w:t xml:space="preserve">phylotypes, qSIP also attempts to quantify the level of enrichment per</w:t>
      </w:r>
      <w:r>
        <w:t xml:space="preserve"> </w:t>
      </w:r>
      <w:r>
        <w:t xml:space="preserve">phylotype, but requires additional quantitative data from qPCR and also</w:t>
      </w:r>
      <w:r>
        <w:t xml:space="preserve"> </w:t>
      </w:r>
      <w:r>
        <w:t xml:space="preserve">a matching unlabelled control sample for every labelled sample, to</w:t>
      </w:r>
      <w:r>
        <w:t xml:space="preserve"> </w:t>
      </w:r>
      <w:r>
        <w:t xml:space="preserve">reliably detect growth. </w:t>
      </w:r>
    </w:p>
    <w:p>
      <w:pPr>
        <w:pStyle w:val="Heading2"/>
      </w:pPr>
      <w:bookmarkStart w:id="34" w:name="data-analysis-for-rna-sip-experiments"/>
      <w:bookmarkEnd w:id="34"/>
      <w:r>
        <w:t xml:space="preserve">Data analysis for RNA-SIP</w:t>
      </w:r>
      <w:r>
        <w:t xml:space="preserve"> </w:t>
      </w:r>
      <w:r>
        <w:t xml:space="preserve">experiments</w:t>
      </w:r>
    </w:p>
    <w:p>
      <w:pPr>
        <w:pStyle w:val="FirstParagraph"/>
      </w:pPr>
      <w:r>
        <w:t xml:space="preserve">Since both HR-SIP and qSIP are carefully detailed in this book,</w:t>
      </w:r>
      <w:r>
        <w:t xml:space="preserve"> </w:t>
      </w:r>
      <w:r>
        <w:t xml:space="preserve">repeating the steps here would be redundant. However, because the</w:t>
      </w:r>
      <w:r>
        <w:t xml:space="preserve"> </w:t>
      </w:r>
      <w:r>
        <w:t xml:space="preserve">methods were published for DNA-SIP, some differences to RNA-SIP should</w:t>
      </w:r>
      <w:r>
        <w:t xml:space="preserve"> </w:t>
      </w:r>
      <w:r>
        <w:t xml:space="preserve">be noted. In principle, both methods rely on a comparison of the</w:t>
      </w:r>
      <w:r>
        <w:t xml:space="preserve"> </w:t>
      </w:r>
      <w:r>
        <w:t xml:space="preserve">gradient fractions from labelled samples to those from unlabelled</w:t>
      </w:r>
      <w:r>
        <w:t xml:space="preserve"> </w:t>
      </w:r>
      <w:r>
        <w:t xml:space="preserve">control samples (between-gradient comparison). Moreover, both assume and</w:t>
      </w:r>
      <w:r>
        <w:t xml:space="preserve"> </w:t>
      </w:r>
      <w:r>
        <w:t xml:space="preserve">make use of the fact that while DNA and RNA will concentrate around</w:t>
      </w:r>
      <w:r>
        <w:t xml:space="preserve"> </w:t>
      </w:r>
      <w:r>
        <w:t xml:space="preserve">their theoretical BD, they diffuse throughout the gradient in a Gaussian</w:t>
      </w:r>
      <w:r>
        <w:t xml:space="preserve"> </w:t>
      </w:r>
      <w:r>
        <w:t xml:space="preserve">shape so that amplifiable amounts of nucleic acids are present in every</w:t>
      </w:r>
      <w:r>
        <w:t xml:space="preserve"> </w:t>
      </w:r>
      <w:r>
        <w:t xml:space="preserve">fraction in the gradient (Angel et al. 2018; Youngblut, Barnett, and Buckley 2018). However, because the course</w:t>
      </w:r>
      <w:r>
        <w:t xml:space="preserve"> </w:t>
      </w:r>
      <w:r>
        <w:t xml:space="preserve">of development of a microbial community is controlled by stochastic</w:t>
      </w:r>
      <w:r>
        <w:t xml:space="preserve"> </w:t>
      </w:r>
      <w:r>
        <w:t xml:space="preserve">processes in addition to deterministic ones, parallel incubations from</w:t>
      </w:r>
      <w:r>
        <w:t xml:space="preserve"> </w:t>
      </w:r>
      <w:r>
        <w:t xml:space="preserve">the same parent community often lead to different communities after a</w:t>
      </w:r>
      <w:r>
        <w:t xml:space="preserve"> </w:t>
      </w:r>
      <w:r>
        <w:t xml:space="preserve">while, even if conditions are kept as similar as possible. Consequently,</w:t>
      </w:r>
      <w:r>
        <w:t xml:space="preserve"> </w:t>
      </w:r>
      <w:r>
        <w:t xml:space="preserve">it was demonstrated that these stochastic variations reduce the</w:t>
      </w:r>
      <w:r>
        <w:t xml:space="preserve"> </w:t>
      </w:r>
      <w:r>
        <w:t xml:space="preserve">detection accuracy and it was recommended that the Bray-Curtis</w:t>
      </w:r>
      <w:r>
        <w:t xml:space="preserve"> </w:t>
      </w:r>
      <w:r>
        <w:t xml:space="preserve">dissimilarity between communities of labelled and unlabelled samples</w:t>
      </w:r>
      <w:r>
        <w:t xml:space="preserve"> </w:t>
      </w:r>
      <w:r>
        <w:t xml:space="preserve">that are being compared should ideally be</w:t>
      </w:r>
      <w:r>
        <w:t xml:space="preserve"> </w:t>
      </w:r>
      <w:r>
        <w:t xml:space="preserve">&gt;0.2 (Youngblut, Barnett, and Buckley 2018). Between-gradient comparisons are</w:t>
      </w:r>
      <w:r>
        <w:t xml:space="preserve"> </w:t>
      </w:r>
      <w:r>
        <w:t xml:space="preserve">crucial for DNA-SIP because as mentioned above, the DNA of different</w:t>
      </w:r>
      <w:r>
        <w:t xml:space="preserve"> </w:t>
      </w:r>
      <w:r>
        <w:t xml:space="preserve">taxa will migrate in the gradient also based on their G+C content.</w:t>
      </w:r>
      <w:r>
        <w:t xml:space="preserve"> </w:t>
      </w:r>
      <w:r>
        <w:t xml:space="preserve">Moreover, the migration based on G+C content is not constant per</w:t>
      </w:r>
      <w:r>
        <w:t xml:space="preserve"> </w:t>
      </w:r>
      <w:r>
        <w:t xml:space="preserve">phylotype. Instead, it will vary based on the size of the DNA fragment</w:t>
      </w:r>
      <w:r>
        <w:t xml:space="preserve"> </w:t>
      </w:r>
      <w:r>
        <w:t xml:space="preserve">surrounding the gene of target, which varies stochastically in most DNA</w:t>
      </w:r>
      <w:r>
        <w:t xml:space="preserve"> </w:t>
      </w:r>
      <w:r>
        <w:t xml:space="preserve">extraction methods (Youngblut and Buckley 2014). In RNA-SIP however, the buoyant</w:t>
      </w:r>
      <w:r>
        <w:t xml:space="preserve"> </w:t>
      </w:r>
      <w:r>
        <w:t xml:space="preserve">density of RNA is less affected by G+C content, and one can assume that</w:t>
      </w:r>
      <w:r>
        <w:t xml:space="preserve"> </w:t>
      </w:r>
      <w:r>
        <w:t xml:space="preserve">in a gradient from an unlabelled sample the relative abundance of each</w:t>
      </w:r>
      <w:r>
        <w:t xml:space="preserve"> </w:t>
      </w:r>
      <w:r>
        <w:t xml:space="preserve">taxon should remain relatively constant throughout the different</w:t>
      </w:r>
      <w:r>
        <w:t xml:space="preserve"> </w:t>
      </w:r>
      <w:r>
        <w:t xml:space="preserve">fractions. In contrast, in a gradient from a labelled sample, some taxa</w:t>
      </w:r>
      <w:r>
        <w:t xml:space="preserve"> </w:t>
      </w:r>
      <w:r>
        <w:t xml:space="preserve">will be more abundant in the heavy fractions compared to the lighter</w:t>
      </w:r>
      <w:r>
        <w:t xml:space="preserve"> </w:t>
      </w:r>
      <w:r>
        <w:t xml:space="preserve">ones, while the relative abundance of unlabelled taxa will remain</w:t>
      </w:r>
      <w:r>
        <w:t xml:space="preserve"> </w:t>
      </w:r>
      <w:r>
        <w:t xml:space="preserve">constant throughout the gradient or decline in the heavy fractions if</w:t>
      </w:r>
      <w:r>
        <w:t xml:space="preserve"> </w:t>
      </w:r>
      <w:r>
        <w:t xml:space="preserve">the labelled taxa make up a significant proportion of the entire</w:t>
      </w:r>
      <w:r>
        <w:t xml:space="preserve"> </w:t>
      </w:r>
      <w:r>
        <w:t xml:space="preserve">community. In any case, since in RNA-SIP differential migration of taxa</w:t>
      </w:r>
      <w:r>
        <w:t xml:space="preserve"> </w:t>
      </w:r>
      <w:r>
        <w:t xml:space="preserve">is only expected as a response of labelling, detection of labelled taxa</w:t>
      </w:r>
      <w:r>
        <w:t xml:space="preserve"> </w:t>
      </w:r>
      <w:r>
        <w:t xml:space="preserve">can also be done in a within-gradient fashion by comparing the relative</w:t>
      </w:r>
      <w:r>
        <w:t xml:space="preserve"> </w:t>
      </w:r>
      <w:r>
        <w:t xml:space="preserve">abundances of taxa in the heavy fractions (i.e.,</w:t>
      </w:r>
      <w:r>
        <w:t xml:space="preserve"> </w:t>
      </w:r>
      <w:r>
        <w:t xml:space="preserve">ca</w:t>
      </w:r>
      <m:oMath>
        <m:r>
          <m:t>.</m:t>
        </m:r>
        <m:r>
          <m:t> </m:t>
        </m:r>
      </m:oMath>
      <w:r>
        <w:t xml:space="preserve">1.72–1.76 g ml</w:t>
      </w:r>
      <w:r>
        <w:rPr>
          <w:vertAlign w:val="superscript"/>
        </w:rPr>
        <w:t xml:space="preserve">-1</w:t>
      </w:r>
      <w:r>
        <w:t xml:space="preserve"> </w:t>
      </w:r>
      <w:r>
        <w:t xml:space="preserve">for DNA-SIP or</w:t>
      </w:r>
      <w:r>
        <w:t xml:space="preserve"> </w:t>
      </w:r>
      <w:r>
        <w:t xml:space="preserve">1.80–1.84 g ml</w:t>
      </w:r>
      <w:r>
        <w:rPr>
          <w:vertAlign w:val="superscript"/>
        </w:rPr>
        <w:t xml:space="preserve">-1</w:t>
      </w:r>
      <w:r>
        <w:t xml:space="preserve"> </w:t>
      </w:r>
      <w:r>
        <w:t xml:space="preserve">for RNA-SIP) with those in the light</w:t>
      </w:r>
      <w:r>
        <w:t xml:space="preserve"> </w:t>
      </w:r>
      <w:r>
        <w:t xml:space="preserve">fractions (i.e., ca</w:t>
      </w:r>
      <m:oMath>
        <m:r>
          <m:t>.</m:t>
        </m:r>
        <m:r>
          <m:t> </m:t>
        </m:r>
      </m:oMath>
      <w:r>
        <w:t xml:space="preserve">1.68–1.72 g ml</w:t>
      </w:r>
      <w:r>
        <w:rPr>
          <w:vertAlign w:val="superscript"/>
        </w:rPr>
        <w:t xml:space="preserve">-1</w:t>
      </w:r>
      <w:r>
        <w:t xml:space="preserve"> </w:t>
      </w:r>
      <w:r>
        <w:t xml:space="preserve">for DNA-SIP or 1.77–1.80 g ml</w:t>
      </w:r>
      <w:r>
        <w:rPr>
          <w:vertAlign w:val="superscript"/>
        </w:rPr>
        <w:t xml:space="preserve">-1</w:t>
      </w:r>
      <w:r>
        <w:t xml:space="preserve"> </w:t>
      </w:r>
      <w:r>
        <w:t xml:space="preserve">for RNA-SIP).</w:t>
      </w:r>
      <w:r>
        <w:t xml:space="preserve"> </w:t>
      </w:r>
      <w:r>
        <w:t xml:space="preserve">However, some label-free controls should nevertheless be set up (e.g.,</w:t>
      </w:r>
      <w:r>
        <w:t xml:space="preserve"> </w:t>
      </w:r>
      <w:r>
        <w:t xml:space="preserve">paralleling the beginning and end time points or the highest and lowest</w:t>
      </w:r>
      <w:r>
        <w:t xml:space="preserve"> </w:t>
      </w:r>
      <w:r>
        <w:t xml:space="preserve">treatment extremes) and analysed because they can help to fine-tune the</w:t>
      </w:r>
      <w:r>
        <w:t xml:space="preserve"> </w:t>
      </w:r>
      <w:r>
        <w:t xml:space="preserve">statistical cutoff parameters so that false positives can be</w:t>
      </w:r>
      <w:r>
        <w:t xml:space="preserve"> </w:t>
      </w:r>
      <w:r>
        <w:t xml:space="preserve">avoided (Angel et al. 2018).</w:t>
      </w:r>
    </w:p>
    <w:p>
      <w:pPr>
        <w:pStyle w:val="Heading2"/>
      </w:pPr>
      <w:bookmarkStart w:id="35" w:name="network-analysis-using-sip-data"/>
      <w:bookmarkEnd w:id="35"/>
      <w:r>
        <w:t xml:space="preserve">Network analysis using SIP</w:t>
      </w:r>
      <w:r>
        <w:t xml:space="preserve"> </w:t>
      </w:r>
      <w:r>
        <w:t xml:space="preserve">data</w:t>
      </w:r>
    </w:p>
    <w:p>
      <w:pPr>
        <w:pStyle w:val="FirstParagraph"/>
      </w:pPr>
      <w:r>
        <w:t xml:space="preserve">Network analysis – the prediction of microbial associations from</w:t>
      </w:r>
      <w:r>
        <w:t xml:space="preserve"> </w:t>
      </w:r>
      <w:r>
        <w:t xml:space="preserve">presence-absence or abundance data is gaining popularity in ecological</w:t>
      </w:r>
      <w:r>
        <w:t xml:space="preserve"> </w:t>
      </w:r>
      <w:r>
        <w:t xml:space="preserve">studies in general and microbiome studies in</w:t>
      </w:r>
      <w:r>
        <w:t xml:space="preserve"> </w:t>
      </w:r>
      <w:r>
        <w:t xml:space="preserve">particular (Faust and Raes 2012). This type of analysis has also been used</w:t>
      </w:r>
      <w:r>
        <w:t xml:space="preserve"> </w:t>
      </w:r>
      <w:r>
        <w:t xml:space="preserve">in concert with SIP to detect, for example, positive and negative</w:t>
      </w:r>
      <w:r>
        <w:t xml:space="preserve"> </w:t>
      </w:r>
      <w:r>
        <w:t xml:space="preserve">correlation between phylotypes of ammonia-oxidising archaea, nitrite</w:t>
      </w:r>
      <w:r>
        <w:t xml:space="preserve"> </w:t>
      </w:r>
      <w:r>
        <w:t xml:space="preserve">oxidising bacteria and methanotrophs (Daebeler et al. 2014), clusters of</w:t>
      </w:r>
      <w:r>
        <w:t xml:space="preserve"> </w:t>
      </w:r>
      <w:r>
        <w:t xml:space="preserve">anaerobic and aerobic bacteria in rewetted biological soil</w:t>
      </w:r>
      <w:r>
        <w:t xml:space="preserve"> </w:t>
      </w:r>
      <w:r>
        <w:t xml:space="preserve">crusts (Angel and Conrad 2013), or to identify community members that</w:t>
      </w:r>
      <w:r>
        <w:t xml:space="preserve"> </w:t>
      </w:r>
      <w:r>
        <w:t xml:space="preserve">interact with methane-oxidizing bacteria (Ho et al. 2016). However,</w:t>
      </w:r>
      <w:r>
        <w:t xml:space="preserve"> </w:t>
      </w:r>
      <w:r>
        <w:t xml:space="preserve">in contrast to a standard network analysis on microbiome data, the</w:t>
      </w:r>
      <w:r>
        <w:t xml:space="preserve"> </w:t>
      </w:r>
      <w:r>
        <w:t xml:space="preserve">interpretation of the results from a SIP experiment might not be so</w:t>
      </w:r>
      <w:r>
        <w:t xml:space="preserve"> </w:t>
      </w:r>
      <w:r>
        <w:t xml:space="preserve">straightforward. First, most probably only the</w:t>
      </w:r>
      <w:r>
        <w:t xml:space="preserve"> </w:t>
      </w:r>
      <w:r>
        <w:t xml:space="preserve">“</w:t>
      </w:r>
      <w:r>
        <w:t xml:space="preserve">heavy</w:t>
      </w:r>
      <w:r>
        <w:t xml:space="preserve">”</w:t>
      </w:r>
      <w:r>
        <w:t xml:space="preserve">  fractions from</w:t>
      </w:r>
      <w:r>
        <w:t xml:space="preserve"> </w:t>
      </w:r>
      <w:r>
        <w:t xml:space="preserve">the labelled gradients should be analysed because changes in the</w:t>
      </w:r>
      <w:r>
        <w:t xml:space="preserve"> </w:t>
      </w:r>
      <w:r>
        <w:t xml:space="preserve">“</w:t>
      </w:r>
      <w:r>
        <w:t xml:space="preserve">light</w:t>
      </w:r>
      <w:r>
        <w:t xml:space="preserve">”</w:t>
      </w:r>
      <w:r>
        <w:t xml:space="preserve"> </w:t>
      </w:r>
      <w:r>
        <w:t xml:space="preserve">fractions are either already reflected in the</w:t>
      </w:r>
      <w:r>
        <w:t xml:space="preserve"> </w:t>
      </w:r>
      <w:r>
        <w:t xml:space="preserve">“</w:t>
      </w:r>
      <w:r>
        <w:t xml:space="preserve">heavy</w:t>
      </w:r>
      <w:r>
        <w:t xml:space="preserve">”</w:t>
      </w:r>
      <w:r>
        <w:t xml:space="preserve"> </w:t>
      </w:r>
      <w:r>
        <w:t xml:space="preserve">fractions (i.e., phylotypes becoming labelled and hence depleted in the</w:t>
      </w:r>
      <w:r>
        <w:t xml:space="preserve"> </w:t>
      </w:r>
      <w:r>
        <w:t xml:space="preserve">“</w:t>
      </w:r>
      <w:r>
        <w:t xml:space="preserve">light</w:t>
      </w:r>
      <w:r>
        <w:t xml:space="preserve">”</w:t>
      </w:r>
      <w:r>
        <w:t xml:space="preserve"> </w:t>
      </w:r>
      <w:r>
        <w:t xml:space="preserve">fractions), or not directly related to substrate incorporation</w:t>
      </w:r>
      <w:r>
        <w:t xml:space="preserve"> </w:t>
      </w:r>
      <w:r>
        <w:t xml:space="preserve">(e.g., growth and death of phylotypes in the general community).</w:t>
      </w:r>
      <w:r>
        <w:t xml:space="preserve"> </w:t>
      </w:r>
      <w:r>
        <w:t xml:space="preserve">Secondly, while the interpretation of positive correlations in the heavy</w:t>
      </w:r>
      <w:r>
        <w:t xml:space="preserve"> </w:t>
      </w:r>
      <w:r>
        <w:t xml:space="preserve">fractions are relatively easy to interpret (i.e., two phylotypes acquire</w:t>
      </w:r>
      <w:r>
        <w:t xml:space="preserve"> </w:t>
      </w:r>
      <w:r>
        <w:t xml:space="preserve">label under similar conditions), it is not entirely clear what negative</w:t>
      </w:r>
      <w:r>
        <w:t xml:space="preserve"> </w:t>
      </w:r>
      <w:r>
        <w:t xml:space="preserve">interactions mean if anything at all. Thirdly, it is important to bear</w:t>
      </w:r>
      <w:r>
        <w:t xml:space="preserve"> </w:t>
      </w:r>
      <w:r>
        <w:t xml:space="preserve">in mind that network analysis does not reveal the mode of the</w:t>
      </w:r>
      <w:r>
        <w:t xml:space="preserve"> </w:t>
      </w:r>
      <w:r>
        <w:t xml:space="preserve">interaction between two interacting phylotypes and a positive</w:t>
      </w:r>
      <w:r>
        <w:t xml:space="preserve"> </w:t>
      </w:r>
      <w:r>
        <w:t xml:space="preserve">correlating could mean that both use the same substrate, that there is</w:t>
      </w:r>
      <w:r>
        <w:t xml:space="preserve"> </w:t>
      </w:r>
      <w:r>
        <w:t xml:space="preserve">cross feeding occurring (and thus the interaction is positive-positive</w:t>
      </w:r>
      <w:r>
        <w:t xml:space="preserve"> </w:t>
      </w:r>
      <w:r>
        <w:t xml:space="preserve">or at least positive-neutral), or that one phylotype is praying on</w:t>
      </w:r>
      <w:r>
        <w:t xml:space="preserve"> </w:t>
      </w:r>
      <w:r>
        <w:t xml:space="preserve">another (positive-negative interaction). Lastly, it should be noted that</w:t>
      </w:r>
      <w:r>
        <w:t xml:space="preserve"> </w:t>
      </w:r>
      <w:r>
        <w:t xml:space="preserve">many replicates are required for a network to be stable (at least 25)</w:t>
      </w:r>
      <w:r>
        <w:t xml:space="preserve"> </w:t>
      </w:r>
      <w:r>
        <w:t xml:space="preserve">and that communities should be reasonably similar in all</w:t>
      </w:r>
      <w:r>
        <w:t xml:space="preserve"> </w:t>
      </w:r>
      <w:r>
        <w:t xml:space="preserve">samples (Berry and Widder 2014). For SIP studies this probably translates</w:t>
      </w:r>
      <w:r>
        <w:t xml:space="preserve"> </w:t>
      </w:r>
      <w:r>
        <w:t xml:space="preserve">into an analysis of at least 25</w:t>
      </w:r>
      <w:r>
        <w:t xml:space="preserve"> </w:t>
      </w:r>
      <w:r>
        <w:t xml:space="preserve">“</w:t>
      </w:r>
      <w:r>
        <w:t xml:space="preserve">heavy</w:t>
      </w:r>
      <w:r>
        <w:t xml:space="preserve">”</w:t>
      </w:r>
      <w:r>
        <w:t xml:space="preserve"> </w:t>
      </w:r>
      <w:r>
        <w:t xml:space="preserve">gradient fractions, coming</w:t>
      </w:r>
      <w:r>
        <w:t xml:space="preserve"> </w:t>
      </w:r>
      <w:r>
        <w:t xml:space="preserve">from both labelled and no-label control incubations. However, when</w:t>
      </w:r>
      <w:r>
        <w:t xml:space="preserve"> </w:t>
      </w:r>
      <w:r>
        <w:t xml:space="preserve">analysing data from DNA-SIP experiments care should be taken when</w:t>
      </w:r>
      <w:r>
        <w:t xml:space="preserve"> </w:t>
      </w:r>
      <w:r>
        <w:t xml:space="preserve">analysing multiple fractions from the same gradient since this could</w:t>
      </w:r>
      <w:r>
        <w:t xml:space="preserve"> </w:t>
      </w:r>
      <w:r>
        <w:t xml:space="preserve">simply be a result of similar G+C contents.</w:t>
      </w:r>
    </w:p>
    <w:p>
      <w:pPr>
        <w:pStyle w:val="BodyText"/>
      </w:pPr>
      <w:r>
        <w:br w:type="textWrapping"/>
      </w:r>
      <w:r>
        <w:rPr>
          <w:b/>
        </w:rPr>
        <w:t xml:space="preserve">Acknowledgements</w:t>
      </w:r>
    </w:p>
    <w:p>
      <w:pPr>
        <w:pStyle w:val="BodyText"/>
      </w:pPr>
      <w:r>
        <w:t xml:space="preserve">The manuscript for this chapter was written online</w:t>
      </w:r>
      <w:r>
        <w:t xml:space="preserve"> </w:t>
      </w:r>
      <w:r>
        <w:t xml:space="preserve">using </w:t>
      </w:r>
      <w:hyperlink r:id="rId36">
        <w:r>
          <w:rPr>
            <w:rStyle w:val="Hyperlink"/>
          </w:rPr>
          <w:t xml:space="preserve">authorea</w:t>
        </w:r>
      </w:hyperlink>
      <w:r>
        <w:t xml:space="preserve">. RA was supported by BC</w:t>
      </w:r>
      <w:r>
        <w:t xml:space="preserve"> </w:t>
      </w:r>
      <w:r>
        <w:t xml:space="preserve">CAS, ISB &amp; SoWa RI (MEYS; projects LM2015075, EF16_013/0001782 – SoWa</w:t>
      </w:r>
      <w:r>
        <w:t xml:space="preserve"> </w:t>
      </w:r>
      <w:r>
        <w:t xml:space="preserve">Ecosystems Research).</w:t>
      </w:r>
    </w:p>
    <w:p>
      <w:pPr>
        <w:pStyle w:val="BodyText"/>
      </w:pPr>
      <w:r>
        <w:rPr>
          <w:b/>
        </w:rPr>
        <w:t xml:space="preserve">Tables</w:t>
      </w:r>
    </w:p>
    <w:p>
      <w:pPr>
        <w:pStyle w:val="BodyText"/>
      </w:pPr>
    </w:p>
    <w:p>
      <w:pPr>
        <w:pStyle w:val="TableCaption"/>
      </w:pPr>
      <w:r>
        <w:t xml:space="preserve"> </w:t>
      </w:r>
      <w:r>
        <w:t xml:space="preserve">What should be considered during each of the various steps in the design of a SIP experiment.</w:t>
      </w:r>
    </w:p>
    <w:tbl>
      <w:tblPr>
        <w:tblStyle w:val="TableNormal"/>
        <w:tblW w:type="pct" w:w="0.0"/>
        <w:tblLook w:firstRow="1"/>
        <w:tblCaption w:val=" What should be considered during each of the various steps in the design of a SIP experiment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Experimental design step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What to consider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Which stable isotope to use?</w:t>
            </w:r>
          </w:p>
        </w:tc>
        <w:tc>
          <w:p>
            <w:pPr>
              <w:pStyle w:val="Compact"/>
              <w:jc w:val="left"/>
            </w:pPr>
            <w:r>
              <w:t xml:space="preserve">Choice of stable isotope primarily depends on the substrate being used, but different stable isotopes differ in their ability to label nucleic acids and lipids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Prior to incubation</w:t>
            </w:r>
          </w:p>
        </w:tc>
        <w:tc>
          <w:p>
            <w:pPr>
              <w:pStyle w:val="Compact"/>
              <w:jc w:val="left"/>
            </w:pPr>
            <w:r>
              <w:t xml:space="preserve">Measure or estimate the turnover rate of the substrate that will be used for labelling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Target molecule</w:t>
            </w:r>
          </w:p>
        </w:tc>
        <w:tc>
          <w:p>
            <w:pPr>
              <w:pStyle w:val="Compact"/>
              <w:jc w:val="left"/>
            </w:pPr>
            <w:r>
              <w:t xml:space="preserve">Will dramatically affect what type of data will be produced and what can be learned from 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Incubation duration</w:t>
            </w:r>
          </w:p>
        </w:tc>
        <w:tc>
          <w:p>
            <w:pPr>
              <w:pStyle w:val="Compact"/>
              <w:jc w:val="left"/>
            </w:pPr>
            <w:r>
              <w:t xml:space="preserve">Short incubation times might lead to insufficient labelling of the target molecule but long incubation times increase the risk of cross-feeding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Substrate enrichment level and concentration</w:t>
            </w:r>
          </w:p>
        </w:tc>
        <w:tc>
          <w:p>
            <w:pPr>
              <w:pStyle w:val="Compact"/>
              <w:jc w:val="left"/>
            </w:pPr>
            <w:r>
              <w:t xml:space="preserve">Substrate should almost always be fully labelled, concentration should be within a realistic range for the sample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Amount of nucleic acids to load</w:t>
            </w:r>
          </w:p>
        </w:tc>
        <w:tc>
          <w:p>
            <w:pPr>
              <w:pStyle w:val="Compact"/>
              <w:jc w:val="left"/>
            </w:pPr>
            <w:r>
              <w:t xml:space="preserve">Varies for DNA- and RNA-SIP. Will also depend on the downstream application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fractions to collect and sequencing depth</w:t>
            </w:r>
          </w:p>
        </w:tc>
        <w:tc>
          <w:p>
            <w:pPr>
              <w:pStyle w:val="Compact"/>
              <w:jc w:val="left"/>
            </w:pPr>
            <w:r>
              <w:t xml:space="preserve">More fractions means higher sensitivity but also higher contamination potential and sequencing costs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Unlabelled controls</w:t>
            </w:r>
          </w:p>
        </w:tc>
        <w:tc>
          <w:p>
            <w:pPr>
              <w:pStyle w:val="Compact"/>
              <w:jc w:val="left"/>
            </w:pPr>
            <w:r>
              <w:t xml:space="preserve">Should always be included but the exact number will depend on the requirements of the data analysis method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Type of rotor</w:t>
            </w:r>
          </w:p>
        </w:tc>
        <w:tc>
          <w:p>
            <w:pPr>
              <w:pStyle w:val="Compact"/>
              <w:jc w:val="left"/>
            </w:pPr>
            <w:r>
              <w:t xml:space="preserve">Traditionally vertical but fixed angle has been recently suggested to be advantageous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Data analysis</w:t>
            </w:r>
          </w:p>
        </w:tc>
        <w:tc>
          <w:p>
            <w:pPr>
              <w:pStyle w:val="Compact"/>
              <w:jc w:val="left"/>
            </w:pPr>
            <w:r>
              <w:t xml:space="preserve">Consider how many gradients, fractions and types of samples (e.g. controls, time series, various concentration levels etc.) will be needed for the chosen data analysis pipeline</w:t>
            </w:r>
          </w:p>
        </w:tc>
      </w:tr>
    </w:tbl>
    <w:p>
      <w:pPr>
        <w:pStyle w:val="TableCaption"/>
      </w:pPr>
      <w:r>
        <w:t xml:space="preserve"> </w:t>
      </w:r>
      <w:r>
        <w:t xml:space="preserve">Number of additional neutrons per nucleotide in a DNA or RNA molecule given full labelling (all respective atoms are replaced by a heavier stable isotope).</w:t>
      </w:r>
    </w:p>
    <w:tbl>
      <w:tblPr>
        <w:tblStyle w:val="TableNormal"/>
        <w:tblW w:type="pct" w:w="0.0"/>
        <w:tblLook w:firstRow="1"/>
        <w:tblCaption w:val=" Number of additional neutrons per nucleotide in a DNA or RNA molecule given full labelling (all respective atoms are replaced by a heavier stable isotope)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rPr>
                <w:b/>
              </w:rPr>
              <w:t xml:space="preserve">Carbon-13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rPr>
                <w:b/>
              </w:rPr>
              <w:t xml:space="preserve">Oxygen-18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rPr>
                <w:b/>
              </w:rPr>
              <w:t xml:space="preserve">Nitrogen-15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rPr>
                <w:b/>
              </w:rPr>
              <w:t xml:space="preserve">Deuterium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Adenine</w:t>
            </w:r>
          </w:p>
        </w:tc>
        <w:tc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p>
            <w:pPr>
              <w:pStyle w:val="Compact"/>
              <w:jc w:val="center"/>
            </w:pPr>
            <w:r>
              <w:t xml:space="preserve">10/12</w:t>
            </w:r>
          </w:p>
        </w:tc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Guanine</w:t>
            </w:r>
          </w:p>
        </w:tc>
        <w:tc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p>
            <w:pPr>
              <w:pStyle w:val="Compact"/>
              <w:jc w:val="center"/>
            </w:pPr>
            <w:r>
              <w:t xml:space="preserve">12/14</w:t>
            </w:r>
          </w:p>
        </w:tc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Cytosine</w:t>
            </w:r>
          </w:p>
        </w:tc>
        <w:tc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p>
            <w:pPr>
              <w:pStyle w:val="Compact"/>
              <w:jc w:val="center"/>
            </w:pPr>
            <w:r>
              <w:t xml:space="preserve">12/14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Thymine/Uracil</w:t>
            </w:r>
          </w:p>
        </w:tc>
        <w:tc>
          <w:p>
            <w:pPr>
              <w:pStyle w:val="Compact"/>
              <w:jc w:val="center"/>
            </w:pPr>
            <w:r>
              <w:t xml:space="preserve">10/9</w:t>
            </w:r>
          </w:p>
        </w:tc>
        <w:tc>
          <w:p>
            <w:pPr>
              <w:pStyle w:val="Compact"/>
              <w:jc w:val="center"/>
            </w:pPr>
            <w:r>
              <w:t xml:space="preserve">14/16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 </w:t>
            </w:r>
            <w:r>
              <w:t xml:space="preserve">Mean</w:t>
            </w:r>
          </w:p>
        </w:tc>
        <w:tc>
          <w:p>
            <w:pPr>
              <w:pStyle w:val="Compact"/>
              <w:jc w:val="center"/>
            </w:pPr>
            <w:r>
              <w:t xml:space="preserve">9.75/9.5</w:t>
            </w:r>
          </w:p>
        </w:tc>
        <w:tc>
          <w:p>
            <w:pPr>
              <w:pStyle w:val="Compact"/>
              <w:jc w:val="center"/>
            </w:pPr>
            <w:r>
              <w:t xml:space="preserve">12/14</w:t>
            </w:r>
          </w:p>
        </w:tc>
        <w:tc>
          <w:p>
            <w:pPr>
              <w:pStyle w:val="Compact"/>
              <w:jc w:val="center"/>
            </w:pPr>
            <w:r>
              <w:t xml:space="preserve">3.75</w:t>
            </w:r>
          </w:p>
        </w:tc>
        <w:tc>
          <w:p>
            <w:pPr>
              <w:pStyle w:val="Compact"/>
              <w:jc w:val="center"/>
            </w:pPr>
            <w:r>
              <w:t xml:space="preserve">9</w:t>
            </w:r>
          </w:p>
        </w:tc>
      </w:tr>
    </w:tbl>
    <w:p>
      <w:pPr>
        <w:pStyle w:val="Heading1"/>
      </w:pPr>
      <w:bookmarkStart w:id="37" w:name="references"/>
      <w:bookmarkEnd w:id="37"/>
      <w:r>
        <w:t xml:space="preserve">References</w:t>
      </w:r>
    </w:p>
    <w:p>
      <w:pPr>
        <w:pStyle w:val="FirstParagraph"/>
      </w:pPr>
      <w:r>
        <w:t xml:space="preserve">Birnie, G. D., and D. Rickwood. 1978.</w:t>
      </w:r>
      <w:r>
        <w:t xml:space="preserve"> </w:t>
      </w:r>
      <w:r>
        <w:t xml:space="preserve">“</w:t>
      </w:r>
      <w:r>
        <w:t xml:space="preserve">Isopycnic</w:t>
      </w:r>
      <w:r>
        <w:t xml:space="preserve"> </w:t>
      </w:r>
      <w:r>
        <w:t xml:space="preserve">Centrifugation</w:t>
      </w:r>
      <w:r>
        <w:t xml:space="preserve"> </w:t>
      </w:r>
      <w:r>
        <w:t xml:space="preserve">in</w:t>
      </w:r>
      <w:r>
        <w:t xml:space="preserve"> </w:t>
      </w:r>
      <w:r>
        <w:t xml:space="preserve">Ionic Media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Centrifugal</w:t>
      </w:r>
      <w:r>
        <w:rPr>
          <w:i/>
        </w:rPr>
        <w:t xml:space="preserve"> </w:t>
      </w:r>
      <w:r>
        <w:rPr>
          <w:i/>
        </w:rPr>
        <w:t xml:space="preserve">Separations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Molecular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Cell Biology</w:t>
      </w:r>
      <w:r>
        <w:t xml:space="preserve">, edited by G. D. Birnie and D. Rickwood, 169–217.</w:t>
      </w:r>
      <w:r>
        <w:t xml:space="preserve"> </w:t>
      </w:r>
      <w:r>
        <w:t xml:space="preserve">Butterworth &amp; Co Publishers Ltd</w:t>
      </w:r>
      <w:r>
        <w:t xml:space="preserve">.</w:t>
      </w:r>
    </w:p>
    <w:p>
      <w:pPr>
        <w:pStyle w:val="BodyText"/>
      </w:pPr>
      <w:r>
        <w:t xml:space="preserve">Angel, Roey, Christopher Panhölzl, Raphael Gabriel, Craig Herbold, Wolfgang Wanek, Andreas Richter, Stephanie A. Eichorst, and Dagmar Woebken. 2018.</w:t>
      </w:r>
      <w:r>
        <w:t xml:space="preserve"> </w:t>
      </w:r>
      <w:r>
        <w:t xml:space="preserve">“</w:t>
      </w:r>
      <w:r>
        <w:t xml:space="preserve">Application of Stable-Isotope Labelling Techniques for the Detection of Active Diazotrophs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Environmental Microbiology</w:t>
      </w:r>
      <w:r>
        <w:t xml:space="preserve"> </w:t>
      </w:r>
      <w:r>
        <w:t xml:space="preserve">20 (1): 44–61.</w:t>
      </w:r>
      <w:r>
        <w:t xml:space="preserve"> </w:t>
      </w:r>
      <w:hyperlink r:id="rId38">
        <w:r>
          <w:rPr>
            <w:rStyle w:val="Hyperlink"/>
          </w:rPr>
          <w:t xml:space="preserve">https://doi.org/10.1111/1462-2920.13954.</w:t>
        </w:r>
      </w:hyperlink>
    </w:p>
    <w:p>
      <w:pPr>
        <w:pStyle w:val="BodyText"/>
      </w:pPr>
      <w:r>
        <w:t xml:space="preserve">Lueders, Tillmann, Mike Manefield, and Michael W. Friedrich. 2004.</w:t>
      </w:r>
      <w:r>
        <w:t xml:space="preserve"> </w:t>
      </w:r>
      <w:r>
        <w:t xml:space="preserve">“</w:t>
      </w:r>
      <w:r>
        <w:t xml:space="preserve">Enhanced Sensitivity of</w:t>
      </w:r>
      <w:r>
        <w:t xml:space="preserve"> </w:t>
      </w:r>
      <w:r>
        <w:t xml:space="preserve">DNA</w:t>
      </w:r>
      <w:r>
        <w:t xml:space="preserve">- and</w:t>
      </w:r>
      <w:r>
        <w:t xml:space="preserve"> </w:t>
      </w:r>
      <w:r>
        <w:t xml:space="preserve">RRNA</w:t>
      </w:r>
      <w:r>
        <w:t xml:space="preserve">-Based Stable Isotope Probing by Fractionation and Quantitative Analysis of Isopycnic Centrifugation Gradients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Environmental Microbiology</w:t>
      </w:r>
      <w:r>
        <w:t xml:space="preserve"> </w:t>
      </w:r>
      <w:r>
        <w:t xml:space="preserve">6 (1): 73–78.</w:t>
      </w:r>
      <w:r>
        <w:t xml:space="preserve"> </w:t>
      </w:r>
      <w:hyperlink r:id="rId39">
        <w:r>
          <w:rPr>
            <w:rStyle w:val="Hyperlink"/>
          </w:rPr>
          <w:t xml:space="preserve">https://doi.org/10.1046/j.1462-2920.2003.00536.x.</w:t>
        </w:r>
      </w:hyperlink>
    </w:p>
    <w:p>
      <w:pPr>
        <w:pStyle w:val="BodyText"/>
      </w:pPr>
      <w:r>
        <w:t xml:space="preserve">Meselson, M., and F. W. Stahl. 1958.</w:t>
      </w:r>
      <w:r>
        <w:t xml:space="preserve"> </w:t>
      </w:r>
      <w:r>
        <w:t xml:space="preserve">“</w:t>
      </w:r>
      <w:r>
        <w:t xml:space="preserve">The Replication of</w:t>
      </w:r>
      <w:r>
        <w:t xml:space="preserve"> </w:t>
      </w:r>
      <w:r>
        <w:t xml:space="preserve">DNA</w:t>
      </w:r>
      <w:r>
        <w:t xml:space="preserve"> </w:t>
      </w:r>
      <w:r>
        <w:t xml:space="preserve">in</w:t>
      </w:r>
      <w:r>
        <w:t xml:space="preserve"> 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Proceedings of the National Academy of Sciences</w:t>
      </w:r>
      <w:r>
        <w:t xml:space="preserve"> </w:t>
      </w:r>
      <w:r>
        <w:t xml:space="preserve">44 (7): 671–82.</w:t>
      </w:r>
      <w:r>
        <w:t xml:space="preserve"> </w:t>
      </w:r>
      <w:hyperlink r:id="rId40">
        <w:r>
          <w:rPr>
            <w:rStyle w:val="Hyperlink"/>
          </w:rPr>
          <w:t xml:space="preserve">https://doi.org/10.1073/pnas.44.7.671.</w:t>
        </w:r>
      </w:hyperlink>
    </w:p>
    <w:p>
      <w:pPr>
        <w:pStyle w:val="BodyText"/>
      </w:pPr>
      <w:r>
        <w:t xml:space="preserve">Rolfe, R., and M. Meselson. 1959.</w:t>
      </w:r>
      <w:r>
        <w:t xml:space="preserve"> </w:t>
      </w:r>
      <w:r>
        <w:t xml:space="preserve">“</w:t>
      </w:r>
      <w:r>
        <w:t xml:space="preserve">The Relative Homogeneity of Microbial DNA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Proceedings of the National Academy of Sciences</w:t>
      </w:r>
      <w:r>
        <w:t xml:space="preserve"> </w:t>
      </w:r>
      <w:r>
        <w:t xml:space="preserve">45 (7): 1039–43.</w:t>
      </w:r>
      <w:r>
        <w:t xml:space="preserve"> </w:t>
      </w:r>
      <w:hyperlink r:id="rId41">
        <w:r>
          <w:rPr>
            <w:rStyle w:val="Hyperlink"/>
          </w:rPr>
          <w:t xml:space="preserve">https://doi.org/10.1073/pnas.45.7.1039.</w:t>
        </w:r>
      </w:hyperlink>
    </w:p>
    <w:p>
      <w:pPr>
        <w:pStyle w:val="BodyText"/>
      </w:pPr>
      <w:r>
        <w:t xml:space="preserve">Cupples, Alison M., Elizabeth A. Shaffer, Joanne C. Chee-Sanford, and Gerald K. Sims. 2007.</w:t>
      </w:r>
      <w:r>
        <w:t xml:space="preserve"> </w:t>
      </w:r>
      <w:r>
        <w:t xml:space="preserve">“</w:t>
      </w:r>
      <w:r>
        <w:t xml:space="preserve">DNA</w:t>
      </w:r>
      <w:r>
        <w:t xml:space="preserve"> </w:t>
      </w:r>
      <w:r>
        <w:t xml:space="preserve">Buoyant Density Shifts during 15N-</w:t>
      </w:r>
      <w:r>
        <w:t xml:space="preserve">DNA</w:t>
      </w:r>
      <w:r>
        <w:t xml:space="preserve"> </w:t>
      </w:r>
      <w:r>
        <w:t xml:space="preserve">Stable Isotope Probing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Microbiological Research</w:t>
      </w:r>
      <w:r>
        <w:t xml:space="preserve"> </w:t>
      </w:r>
      <w:r>
        <w:t xml:space="preserve">162 (4): 328–34.</w:t>
      </w:r>
      <w:r>
        <w:t xml:space="preserve"> </w:t>
      </w:r>
      <w:hyperlink r:id="rId42">
        <w:r>
          <w:rPr>
            <w:rStyle w:val="Hyperlink"/>
          </w:rPr>
          <w:t xml:space="preserve">https://doi.org/10.1016/j.micres.2006.01.016.</w:t>
        </w:r>
      </w:hyperlink>
    </w:p>
    <w:p>
      <w:pPr>
        <w:pStyle w:val="BodyText"/>
      </w:pPr>
      <w:r>
        <w:t xml:space="preserve">Youngblut, Nicholas D., and Daniel H. Buckley. 2014.</w:t>
      </w:r>
      <w:r>
        <w:t xml:space="preserve"> </w:t>
      </w:r>
      <w:r>
        <w:t xml:space="preserve">“</w:t>
      </w:r>
      <w:r>
        <w:t xml:space="preserve">Intra-Genomic Variation in G+C Content and Its Implications for</w:t>
      </w:r>
      <w:r>
        <w:t xml:space="preserve"> </w:t>
      </w:r>
      <w:r>
        <w:t xml:space="preserve">DNA</w:t>
      </w:r>
      <w:r>
        <w:t xml:space="preserve"> </w:t>
      </w:r>
      <w:r>
        <w:t xml:space="preserve">Stable Isotope Probing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Environmental Microbiology Reports</w:t>
      </w:r>
      <w:r>
        <w:t xml:space="preserve"> </w:t>
      </w:r>
      <w:r>
        <w:t xml:space="preserve">6 (6): 767–75.</w:t>
      </w:r>
      <w:r>
        <w:t xml:space="preserve"> </w:t>
      </w:r>
      <w:hyperlink r:id="rId43">
        <w:r>
          <w:rPr>
            <w:rStyle w:val="Hyperlink"/>
          </w:rPr>
          <w:t xml:space="preserve">https://doi.org/10.1111/1758-2229.12201.</w:t>
        </w:r>
      </w:hyperlink>
    </w:p>
    <w:p>
      <w:pPr>
        <w:pStyle w:val="BodyText"/>
      </w:pPr>
      <w:r>
        <w:t xml:space="preserve">Cadisch, Georg, Mingrelia Espana, Rachel Causey, Michael Richter, Eve Shaw, J. Alun W. Morgan, Clive Rahn, and Gary D. Bending. 2005.</w:t>
      </w:r>
      <w:r>
        <w:t xml:space="preserve"> </w:t>
      </w:r>
      <w:r>
        <w:t xml:space="preserve">“</w:t>
      </w:r>
      <w:r>
        <w:t xml:space="preserve">Technical Considerations for the Use of15N-</w:t>
      </w:r>
      <w:r>
        <w:t xml:space="preserve">DNA</w:t>
      </w:r>
      <w:r>
        <w:t xml:space="preserve"> </w:t>
      </w:r>
      <w:r>
        <w:t xml:space="preserve">Stable-Isotope Probing for Functional Microbial Activity in Soils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Rapid Communications in Mass Spectrometry</w:t>
      </w:r>
      <w:r>
        <w:t xml:space="preserve"> </w:t>
      </w:r>
      <w:r>
        <w:t xml:space="preserve">19 (11): 1424–28.</w:t>
      </w:r>
      <w:r>
        <w:t xml:space="preserve"> </w:t>
      </w:r>
      <w:hyperlink r:id="rId44">
        <w:r>
          <w:rPr>
            <w:rStyle w:val="Hyperlink"/>
          </w:rPr>
          <w:t xml:space="preserve">https://doi.org/10.1002/rcm.1908.</w:t>
        </w:r>
      </w:hyperlink>
    </w:p>
    <w:p>
      <w:pPr>
        <w:pStyle w:val="BodyText"/>
      </w:pPr>
      <w:r>
        <w:t xml:space="preserve">Aanderud, Zachary T., and Jay T. Lennon. 2011.</w:t>
      </w:r>
      <w:r>
        <w:t xml:space="preserve"> </w:t>
      </w:r>
      <w:r>
        <w:t xml:space="preserve">“</w:t>
      </w:r>
      <w:r>
        <w:t xml:space="preserve">Validation of Heavy-Water Stable Isotope Probing for the Characterization of Rapidly Responding Soil Bacteria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Applied and Environmental Microbiology</w:t>
      </w:r>
      <w:r>
        <w:t xml:space="preserve"> </w:t>
      </w:r>
      <w:r>
        <w:t xml:space="preserve">77 (13): 4589–96.</w:t>
      </w:r>
      <w:r>
        <w:t xml:space="preserve"> </w:t>
      </w:r>
      <w:hyperlink r:id="rId45">
        <w:r>
          <w:rPr>
            <w:rStyle w:val="Hyperlink"/>
          </w:rPr>
          <w:t xml:space="preserve">https://doi.org/10.1128/aem.02735-10.</w:t>
        </w:r>
      </w:hyperlink>
    </w:p>
    <w:p>
      <w:pPr>
        <w:pStyle w:val="BodyText"/>
      </w:pPr>
      <w:r>
        <w:t xml:space="preserve">Angel, Roey, and Ralf Conrad. 2013.</w:t>
      </w:r>
      <w:r>
        <w:t xml:space="preserve"> </w:t>
      </w:r>
      <w:r>
        <w:t xml:space="preserve">“</w:t>
      </w:r>
      <w:r>
        <w:t xml:space="preserve">Elucidating the Microbial Resuscitation Cascade in Biological Soil Crusts Following a Simulated Rain Event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Environmental Microbiology</w:t>
      </w:r>
      <w:r>
        <w:t xml:space="preserve"> </w:t>
      </w:r>
      <w:r>
        <w:t xml:space="preserve">15 (May): 2799–2815.</w:t>
      </w:r>
      <w:r>
        <w:t xml:space="preserve"> </w:t>
      </w:r>
      <w:hyperlink r:id="rId46">
        <w:r>
          <w:rPr>
            <w:rStyle w:val="Hyperlink"/>
          </w:rPr>
          <w:t xml:space="preserve">https://doi.org/10.1111/1462-2920.12140.</w:t>
        </w:r>
      </w:hyperlink>
    </w:p>
    <w:p>
      <w:pPr>
        <w:pStyle w:val="BodyText"/>
      </w:pPr>
      <w:r>
        <w:t xml:space="preserve">Berry, David, Esther Mader, Tae Kwon Lee, Dagmar Woebken, Yun Wang, Di Zhu, Marton Palatinszky, et al. 2014.</w:t>
      </w:r>
      <w:r>
        <w:t xml:space="preserve"> </w:t>
      </w:r>
      <w:r>
        <w:t xml:space="preserve">“</w:t>
      </w:r>
      <w:r>
        <w:t xml:space="preserve">Tracking Heavy Water (DO) Incorporation for Identifying and Sorting Active Microbial Cells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Proceedings of the National Academy of Sciences</w:t>
      </w:r>
      <w:r>
        <w:t xml:space="preserve"> </w:t>
      </w:r>
      <w:r>
        <w:t xml:space="preserve">112 (2): E194–E203.</w:t>
      </w:r>
      <w:r>
        <w:t xml:space="preserve"> </w:t>
      </w:r>
      <w:hyperlink r:id="rId47">
        <w:r>
          <w:rPr>
            <w:rStyle w:val="Hyperlink"/>
          </w:rPr>
          <w:t xml:space="preserve">https://doi.org/10.1073/pnas.1420406112.</w:t>
        </w:r>
      </w:hyperlink>
    </w:p>
    <w:p>
      <w:pPr>
        <w:pStyle w:val="BodyText"/>
      </w:pPr>
      <w:r>
        <w:t xml:space="preserve">Baran, Richard, Rebecca Lau, Benjamin P. Bowen, Spencer Diamond, Nick Jose, Ferran Garcia-Pichel, and Trent R. Northen. 2017.</w:t>
      </w:r>
      <w:r>
        <w:t xml:space="preserve"> </w:t>
      </w:r>
      <w:r>
        <w:t xml:space="preserve">“</w:t>
      </w:r>
      <w:r>
        <w:t xml:space="preserve">Extensive Turnover of Compatible Solutes in Cyanobacteria Revealed by Deuterium Oxide (D2O) Stable Isotope Probing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ACS</w:t>
      </w:r>
      <w:r>
        <w:rPr>
          <w:i/>
        </w:rPr>
        <w:t xml:space="preserve"> </w:t>
      </w:r>
      <w:r>
        <w:rPr>
          <w:i/>
        </w:rPr>
        <w:t xml:space="preserve">Chemical Biology</w:t>
      </w:r>
      <w:r>
        <w:t xml:space="preserve"> </w:t>
      </w:r>
      <w:r>
        <w:t xml:space="preserve">12 (3): 674–81.</w:t>
      </w:r>
      <w:r>
        <w:t xml:space="preserve"> </w:t>
      </w:r>
      <w:hyperlink r:id="rId48">
        <w:r>
          <w:rPr>
            <w:rStyle w:val="Hyperlink"/>
          </w:rPr>
          <w:t xml:space="preserve">https://doi.org/10.1021/acschembio.6b00890.</w:t>
        </w:r>
      </w:hyperlink>
    </w:p>
    <w:p>
      <w:pPr>
        <w:pStyle w:val="BodyText"/>
      </w:pPr>
      <w:r>
        <w:t xml:space="preserve">Manefield, Mike, Andrew S. Whiteley, Nick Ostle, Philip Ineson, and Mark J. Bailey. 2002.</w:t>
      </w:r>
      <w:r>
        <w:t xml:space="preserve"> </w:t>
      </w:r>
      <w:r>
        <w:t xml:space="preserve">“</w:t>
      </w:r>
      <w:r>
        <w:t xml:space="preserve">Technical Considerations for</w:t>
      </w:r>
      <w:r>
        <w:t xml:space="preserve"> </w:t>
      </w:r>
      <w:r>
        <w:t xml:space="preserve">RNA</w:t>
      </w:r>
      <w:r>
        <w:t xml:space="preserve">-Based Stable Isotope Probing: an Approach to Associating Microbial Diversity with Microbial Community Function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Rapid Communications in Mass Spectrometry</w:t>
      </w:r>
      <w:r>
        <w:t xml:space="preserve"> </w:t>
      </w:r>
      <w:r>
        <w:t xml:space="preserve">16 (23): 2179–83.</w:t>
      </w:r>
      <w:r>
        <w:t xml:space="preserve"> </w:t>
      </w:r>
      <w:hyperlink r:id="rId49">
        <w:r>
          <w:rPr>
            <w:rStyle w:val="Hyperlink"/>
          </w:rPr>
          <w:t xml:space="preserve">https://doi.org/10.1002/rcm.782.</w:t>
        </w:r>
      </w:hyperlink>
    </w:p>
    <w:p>
      <w:pPr>
        <w:pStyle w:val="BodyText"/>
      </w:pPr>
      <w:r>
        <w:t xml:space="preserve">Blazewicz, Steven J., and Egbert Schwartz. 2011.</w:t>
      </w:r>
      <w:r>
        <w:t xml:space="preserve"> </w:t>
      </w:r>
      <w:r>
        <w:t xml:space="preserve">“</w:t>
      </w:r>
      <w:r>
        <w:t xml:space="preserve">Dynamics of 18O Incorporation from H 2 18O into Soil Microbial</w:t>
      </w:r>
      <w:r>
        <w:t xml:space="preserve"> </w:t>
      </w:r>
      <w:r>
        <w:t xml:space="preserve">DNA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Microbial Ecology</w:t>
      </w:r>
      <w:r>
        <w:t xml:space="preserve"> </w:t>
      </w:r>
      <w:r>
        <w:t xml:space="preserve">61 (4): 911–16.</w:t>
      </w:r>
      <w:r>
        <w:t xml:space="preserve"> </w:t>
      </w:r>
      <w:hyperlink r:id="rId50">
        <w:r>
          <w:rPr>
            <w:rStyle w:val="Hyperlink"/>
          </w:rPr>
          <w:t xml:space="preserve">https://doi.org/10.1007/s00248-011-9826-7.</w:t>
        </w:r>
      </w:hyperlink>
    </w:p>
    <w:p>
      <w:pPr>
        <w:pStyle w:val="BodyText"/>
      </w:pPr>
      <w:r>
        <w:t xml:space="preserve">Radajewski, Stefan, Philip Ineson, Nisha R. Parekh, and J. Colin Murrell. 2000.</w:t>
      </w:r>
      <w:r>
        <w:t xml:space="preserve"> </w:t>
      </w:r>
      <w:r>
        <w:t xml:space="preserve">“</w:t>
      </w:r>
      <w:r>
        <w:t xml:space="preserve">Stable-Isotope Probing as a Tool in Microbial Ecology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403 (6770): 646–49.</w:t>
      </w:r>
      <w:r>
        <w:t xml:space="preserve"> </w:t>
      </w:r>
      <w:hyperlink r:id="rId51">
        <w:r>
          <w:rPr>
            <w:rStyle w:val="Hyperlink"/>
          </w:rPr>
          <w:t xml:space="preserve">https://doi.org/10.1038/35001054.</w:t>
        </w:r>
      </w:hyperlink>
    </w:p>
    <w:p>
      <w:pPr>
        <w:pStyle w:val="BodyText"/>
      </w:pPr>
      <w:r>
        <w:t xml:space="preserve">Boschker, H. T. S., S. C. Nold, P. Wellsbury, D. Bos, W. de Graaf, R. Pel, R. J. Parkes, and T. E. Cappenberg. 1998.</w:t>
      </w:r>
      <w:r>
        <w:t xml:space="preserve"> </w:t>
      </w:r>
      <w:r>
        <w:t xml:space="preserve">“</w:t>
      </w:r>
      <w:r>
        <w:t xml:space="preserve">Direct Linking of Microbial Populations to Specific Biogeochemical Processes by 13C-Labelling of Biomarkers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392 (6678): 801–5.</w:t>
      </w:r>
      <w:r>
        <w:t xml:space="preserve"> </w:t>
      </w:r>
      <w:hyperlink r:id="rId52">
        <w:r>
          <w:rPr>
            <w:rStyle w:val="Hyperlink"/>
          </w:rPr>
          <w:t xml:space="preserve">https://doi.org/10.1038/33900.</w:t>
        </w:r>
      </w:hyperlink>
    </w:p>
    <w:p>
      <w:pPr>
        <w:pStyle w:val="BodyText"/>
      </w:pPr>
      <w:r>
        <w:t xml:space="preserve">Pelz, Oliver, Antonis Chatzinotas, Annatina Zarda-Hess, Wolf-Rainer Abraham, and Josef Zeyer. 2001.</w:t>
      </w:r>
      <w:r>
        <w:t xml:space="preserve"> </w:t>
      </w:r>
      <w:r>
        <w:t xml:space="preserve">“</w:t>
      </w:r>
      <w:r>
        <w:t xml:space="preserve">Tracing Toluene-Assimilating Sulfate-Reducing Bacteria Using 13C-Incorporation in Fatty Acids and Whole-Cell Hybridization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FEMS</w:t>
      </w:r>
      <w:r>
        <w:rPr>
          <w:i/>
        </w:rPr>
        <w:t xml:space="preserve"> </w:t>
      </w:r>
      <w:r>
        <w:rPr>
          <w:i/>
        </w:rPr>
        <w:t xml:space="preserve">Microbiology Ecology</w:t>
      </w:r>
      <w:r>
        <w:t xml:space="preserve"> </w:t>
      </w:r>
      <w:r>
        <w:t xml:space="preserve">38 (2-3): 123–31.</w:t>
      </w:r>
      <w:r>
        <w:t xml:space="preserve"> </w:t>
      </w:r>
      <w:hyperlink r:id="rId53">
        <w:r>
          <w:rPr>
            <w:rStyle w:val="Hyperlink"/>
          </w:rPr>
          <w:t xml:space="preserve">https://doi.org/10.1111/j.1574-6941.2001.tb00890.x.</w:t>
        </w:r>
      </w:hyperlink>
    </w:p>
    <w:p>
      <w:pPr>
        <w:pStyle w:val="BodyText"/>
      </w:pPr>
      <w:r>
        <w:t xml:space="preserve">Knief, C., A. Lipski, and P. F. Dunfield. 2003.</w:t>
      </w:r>
      <w:r>
        <w:t xml:space="preserve"> </w:t>
      </w:r>
      <w:r>
        <w:t xml:space="preserve">“</w:t>
      </w:r>
      <w:r>
        <w:t xml:space="preserve">Diversity and Activity of Methanotrophic Bacteria in Different Upland Soils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Applied and Environmental Microbiology</w:t>
      </w:r>
      <w:r>
        <w:t xml:space="preserve"> </w:t>
      </w:r>
      <w:r>
        <w:t xml:space="preserve">69 (11): 6703–14.</w:t>
      </w:r>
      <w:r>
        <w:t xml:space="preserve"> </w:t>
      </w:r>
      <w:hyperlink r:id="rId54">
        <w:r>
          <w:rPr>
            <w:rStyle w:val="Hyperlink"/>
          </w:rPr>
          <w:t xml:space="preserve">https://doi.org/10.1128/aem.69.11.6703-6714.2003.</w:t>
        </w:r>
      </w:hyperlink>
    </w:p>
    <w:p>
      <w:pPr>
        <w:pStyle w:val="BodyText"/>
      </w:pPr>
      <w:r>
        <w:t xml:space="preserve">Evershed, Richard P, Zoe M Crossman, Ian D Bull, Hazel Mottram, Jennifer AJ Dungait, Peter J Maxfield, and Emma L Brennand. 2006.</w:t>
      </w:r>
      <w:r>
        <w:t xml:space="preserve"> </w:t>
      </w:r>
      <w:r>
        <w:t xml:space="preserve">“</w:t>
      </w:r>
      <w:r>
        <w:t xml:space="preserve">13C-Labelling of Lipids to Investigate Microbial Communities in the Environment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Current Opinion in Biotechnology</w:t>
      </w:r>
      <w:r>
        <w:t xml:space="preserve"> </w:t>
      </w:r>
      <w:r>
        <w:t xml:space="preserve">17 (1): 72–82.</w:t>
      </w:r>
      <w:r>
        <w:t xml:space="preserve"> </w:t>
      </w:r>
      <w:hyperlink r:id="rId55">
        <w:r>
          <w:rPr>
            <w:rStyle w:val="Hyperlink"/>
          </w:rPr>
          <w:t xml:space="preserve">https://doi.org/10.1016/j.copbio.2006.01.003.</w:t>
        </w:r>
      </w:hyperlink>
    </w:p>
    <w:p>
      <w:pPr>
        <w:pStyle w:val="BodyText"/>
      </w:pPr>
      <w:r>
        <w:t xml:space="preserve">Jehmlich, Nico, Frank Schmidt, Mathias Hartwich, Martin von Bergen, Hans-Hermann Richnow, and Carsten Vogt. 2008.</w:t>
      </w:r>
      <w:r>
        <w:t xml:space="preserve"> </w:t>
      </w:r>
      <w:r>
        <w:t xml:space="preserve">“</w:t>
      </w:r>
      <w:r>
        <w:t xml:space="preserve">Incorporation of Carbon and Nitrogen Atoms into Proteins Measured by Protein-Based Stable Isotope Probing (Protein-</w:t>
      </w:r>
      <w:r>
        <w:t xml:space="preserve">SIP</w:t>
      </w:r>
      <w:r>
        <w:t xml:space="preserve">)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Rapid Communications in Mass Spectrometry</w:t>
      </w:r>
      <w:r>
        <w:t xml:space="preserve"> </w:t>
      </w:r>
      <w:r>
        <w:t xml:space="preserve">22 (18): 2889–97.</w:t>
      </w:r>
      <w:r>
        <w:t xml:space="preserve"> </w:t>
      </w:r>
      <w:hyperlink r:id="rId56">
        <w:r>
          <w:rPr>
            <w:rStyle w:val="Hyperlink"/>
          </w:rPr>
          <w:t xml:space="preserve">https://doi.org/10.1002/rcm.3684.</w:t>
        </w:r>
      </w:hyperlink>
    </w:p>
    <w:p>
      <w:pPr>
        <w:pStyle w:val="BodyText"/>
      </w:pPr>
      <w:r>
        <w:t xml:space="preserve">Li, Tianlun, Ting-Di Wu, Laurent Maz</w:t>
      </w:r>
      <w:r>
        <w:t xml:space="preserve">é</w:t>
      </w:r>
      <w:r>
        <w:t xml:space="preserve">as, Laurent Toffin, Jean-Luc Guerquin-Kern, G</w:t>
      </w:r>
      <w:r>
        <w:t xml:space="preserve">é</w:t>
      </w:r>
      <w:r>
        <w:t xml:space="preserve">rard Leblon, and Th</w:t>
      </w:r>
      <w:r>
        <w:t xml:space="preserve">é</w:t>
      </w:r>
      <w:r>
        <w:t xml:space="preserve">odore Bouchez. 2008.</w:t>
      </w:r>
      <w:r>
        <w:t xml:space="preserve"> </w:t>
      </w:r>
      <w:r>
        <w:t xml:space="preserve">“</w:t>
      </w:r>
      <w:r>
        <w:t xml:space="preserve">Simultaneous Analysis of Microbial Identity and Function Using</w:t>
      </w:r>
      <w:r>
        <w:t xml:space="preserve"> </w:t>
      </w:r>
      <w:r>
        <w:t xml:space="preserve">NanoSIMS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Environmental Microbiology</w:t>
      </w:r>
      <w:r>
        <w:t xml:space="preserve"> </w:t>
      </w:r>
      <w:r>
        <w:t xml:space="preserve">10 (3): 580–88.</w:t>
      </w:r>
      <w:r>
        <w:t xml:space="preserve"> </w:t>
      </w:r>
      <w:hyperlink r:id="rId57">
        <w:r>
          <w:rPr>
            <w:rStyle w:val="Hyperlink"/>
          </w:rPr>
          <w:t xml:space="preserve">https://doi.org/10.1111/j.1462-2920.2007.01478.x.</w:t>
        </w:r>
      </w:hyperlink>
    </w:p>
    <w:p>
      <w:pPr>
        <w:pStyle w:val="BodyText"/>
      </w:pPr>
      <w:r>
        <w:t xml:space="preserve">Wang, Yun, Wei E Huang, Li Cui, and Michael Wagner. 2016.</w:t>
      </w:r>
      <w:r>
        <w:t xml:space="preserve"> </w:t>
      </w:r>
      <w:r>
        <w:t xml:space="preserve">“</w:t>
      </w:r>
      <w:r>
        <w:t xml:space="preserve">Single Cell Stable Isotope Probing in Microbiology Using Raman Microspectroscopy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Current Opinion in Biotechnology</w:t>
      </w:r>
      <w:r>
        <w:t xml:space="preserve"> </w:t>
      </w:r>
      <w:r>
        <w:t xml:space="preserve">41 (October): 34–42.</w:t>
      </w:r>
      <w:r>
        <w:t xml:space="preserve"> </w:t>
      </w:r>
      <w:hyperlink r:id="rId58">
        <w:r>
          <w:rPr>
            <w:rStyle w:val="Hyperlink"/>
          </w:rPr>
          <w:t xml:space="preserve">https://doi.org/10.1016/j.copbio.2016.04.018.</w:t>
        </w:r>
      </w:hyperlink>
    </w:p>
    <w:p>
      <w:pPr>
        <w:pStyle w:val="BodyText"/>
      </w:pPr>
      <w:r>
        <w:t xml:space="preserve">Blazewicz, Steven J., Egbert Schwartz, and Mary K. Firestone. 2014.</w:t>
      </w:r>
      <w:r>
        <w:t xml:space="preserve"> </w:t>
      </w:r>
      <w:r>
        <w:t xml:space="preserve">“</w:t>
      </w:r>
      <w:r>
        <w:t xml:space="preserve">Growth and Death of Bacteria and Fungi Underlie Rainfall-Induced Carbon Dioxide Pulses from Seasonally Dried Soil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Ecology</w:t>
      </w:r>
      <w:r>
        <w:t xml:space="preserve"> </w:t>
      </w:r>
      <w:r>
        <w:t xml:space="preserve">95 (5): 1162–72.</w:t>
      </w:r>
      <w:r>
        <w:t xml:space="preserve"> </w:t>
      </w:r>
      <w:hyperlink r:id="rId59">
        <w:r>
          <w:rPr>
            <w:rStyle w:val="Hyperlink"/>
          </w:rPr>
          <w:t xml:space="preserve">https://doi.org/10.1890/13-1031.1.</w:t>
        </w:r>
      </w:hyperlink>
    </w:p>
    <w:p>
      <w:pPr>
        <w:pStyle w:val="BodyText"/>
      </w:pPr>
      <w:r>
        <w:t xml:space="preserve">Buckley, D. H., V. Huangyutitham, S.-F. Hsu, and T. A. Nelson. 2007.</w:t>
      </w:r>
      <w:r>
        <w:t xml:space="preserve"> </w:t>
      </w:r>
      <w:r>
        <w:t xml:space="preserve">“</w:t>
      </w:r>
      <w:r>
        <w:t xml:space="preserve">Stable Isotope Probing with N Reveals Novel Noncultivated Diazotrophs in Soil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Applied and Environmental Microbiology</w:t>
      </w:r>
      <w:r>
        <w:t xml:space="preserve"> </w:t>
      </w:r>
      <w:r>
        <w:t xml:space="preserve">73 (10): 3196–3204.</w:t>
      </w:r>
      <w:r>
        <w:t xml:space="preserve"> </w:t>
      </w:r>
      <w:hyperlink r:id="rId60">
        <w:r>
          <w:rPr>
            <w:rStyle w:val="Hyperlink"/>
          </w:rPr>
          <w:t xml:space="preserve">https://doi.org/10.1128/aem.02610-06.</w:t>
        </w:r>
      </w:hyperlink>
    </w:p>
    <w:p>
      <w:pPr>
        <w:pStyle w:val="BodyText"/>
      </w:pPr>
      <w:r>
        <w:t xml:space="preserve">Pepe-Ranney, Charles, Chantal Koechli, Ruth Potrafka, Cheryl Andam, Erin Eggleston, Ferran Garcia-Pichel, and Daniel H Buckley. 2015.</w:t>
      </w:r>
      <w:r>
        <w:t xml:space="preserve"> </w:t>
      </w:r>
      <w:r>
        <w:t xml:space="preserve">“</w:t>
      </w:r>
      <w:r>
        <w:t xml:space="preserve">Non-Cyanobacterial Diazotrophs Mediate Dinitrogen Fixation in Biological Soil Crusts during Early Crust Formation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ISME</w:t>
      </w:r>
      <w:r>
        <w:rPr>
          <w:i/>
        </w:rPr>
        <w:t xml:space="preserve"> </w:t>
      </w:r>
      <w:r>
        <w:rPr>
          <w:i/>
        </w:rPr>
        <w:t xml:space="preserve">Journal</w:t>
      </w:r>
      <w:r>
        <w:t xml:space="preserve"> </w:t>
      </w:r>
      <w:r>
        <w:t xml:space="preserve">10 (2): 287–98.</w:t>
      </w:r>
      <w:r>
        <w:t xml:space="preserve"> </w:t>
      </w:r>
      <w:hyperlink r:id="rId61">
        <w:r>
          <w:rPr>
            <w:rStyle w:val="Hyperlink"/>
          </w:rPr>
          <w:t xml:space="preserve">https://doi.org/10.1038/ismej.2015.106.</w:t>
        </w:r>
      </w:hyperlink>
    </w:p>
    <w:p>
      <w:pPr>
        <w:pStyle w:val="BodyText"/>
      </w:pPr>
      <w:r>
        <w:t xml:space="preserve">Buckley, D. H., V. Huangyutitham, S.-F. Hsu, and T. A. Nelson. 2007.</w:t>
      </w:r>
      <w:r>
        <w:t xml:space="preserve"> </w:t>
      </w:r>
      <w:r>
        <w:t xml:space="preserve">“</w:t>
      </w:r>
      <w:r>
        <w:t xml:space="preserve">Stable Isotope Probing with N Achieved by Disentangling the Effects of Genome G+C Content and Isotope Enrichment on</w:t>
      </w:r>
      <w:r>
        <w:t xml:space="preserve"> </w:t>
      </w:r>
      <w:r>
        <w:t xml:space="preserve">DNA</w:t>
      </w:r>
      <w:r>
        <w:t xml:space="preserve"> </w:t>
      </w:r>
      <w:r>
        <w:t xml:space="preserve">Density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Applied and Environmental Microbiology</w:t>
      </w:r>
      <w:r>
        <w:t xml:space="preserve"> </w:t>
      </w:r>
      <w:r>
        <w:t xml:space="preserve">73 (10): 3189–95.</w:t>
      </w:r>
      <w:r>
        <w:t xml:space="preserve"> </w:t>
      </w:r>
      <w:hyperlink r:id="rId62">
        <w:r>
          <w:rPr>
            <w:rStyle w:val="Hyperlink"/>
          </w:rPr>
          <w:t xml:space="preserve">https://doi.org/10.1128/aem.02609-06.</w:t>
        </w:r>
      </w:hyperlink>
    </w:p>
    <w:p>
      <w:pPr>
        <w:pStyle w:val="BodyText"/>
      </w:pPr>
      <w:r>
        <w:t xml:space="preserve">Cadisch, Georg, Mingrelia Espana, Rachel Causey, Michael Richter, Eve Shaw, J. Alun W. Morgan, Clive Rahn, and Gary D. Bending. 2005.</w:t>
      </w:r>
      <w:r>
        <w:t xml:space="preserve"> </w:t>
      </w:r>
      <w:r>
        <w:t xml:space="preserve">“</w:t>
      </w:r>
      <w:r>
        <w:t xml:space="preserve">Technical Considerations for the Use of N-</w:t>
      </w:r>
      <w:r>
        <w:t xml:space="preserve">DNA</w:t>
      </w:r>
      <w:r>
        <w:t xml:space="preserve"> </w:t>
      </w:r>
      <w:r>
        <w:t xml:space="preserve">Stable-Isotope Probing for Functional Microbial Activity in Soils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Rapid Communications in Mass Spectrometry</w:t>
      </w:r>
      <w:r>
        <w:t xml:space="preserve"> </w:t>
      </w:r>
      <w:r>
        <w:t xml:space="preserve">19 (11): 1424–28.</w:t>
      </w:r>
      <w:r>
        <w:t xml:space="preserve"> </w:t>
      </w:r>
      <w:hyperlink r:id="rId44">
        <w:r>
          <w:rPr>
            <w:rStyle w:val="Hyperlink"/>
          </w:rPr>
          <w:t xml:space="preserve">https://doi.org/10.1002/rcm.1908.</w:t>
        </w:r>
      </w:hyperlink>
    </w:p>
    <w:p>
      <w:pPr>
        <w:pStyle w:val="BodyText"/>
      </w:pPr>
      <w:r>
        <w:t xml:space="preserve">McDonald, Ian R., Stefan Radajewski, and J. Colin Murrell. 2005.</w:t>
      </w:r>
      <w:r>
        <w:t xml:space="preserve"> </w:t>
      </w:r>
      <w:r>
        <w:t xml:space="preserve">“</w:t>
      </w:r>
      <w:r>
        <w:t xml:space="preserve">Stable Isotope Probing of Nucleic Acids in Methanotrophs and Methylotrophs: A Review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Organic Geochemistry</w:t>
      </w:r>
      <w:r>
        <w:t xml:space="preserve"> </w:t>
      </w:r>
      <w:r>
        <w:t xml:space="preserve">36 (5): 779–87.</w:t>
      </w:r>
      <w:r>
        <w:t xml:space="preserve"> </w:t>
      </w:r>
      <w:hyperlink r:id="rId63">
        <w:r>
          <w:rPr>
            <w:rStyle w:val="Hyperlink"/>
          </w:rPr>
          <w:t xml:space="preserve">https://doi.org/10.1016/j.orggeochem.2005.01.005.</w:t>
        </w:r>
      </w:hyperlink>
    </w:p>
    <w:p>
      <w:pPr>
        <w:pStyle w:val="BodyText"/>
      </w:pPr>
      <w:r>
        <w:t xml:space="preserve">Adam, Birgit, Isabell Klawonn, Jennie B Sved</w:t>
      </w:r>
      <w:r>
        <w:t xml:space="preserve">é</w:t>
      </w:r>
      <w:r>
        <w:t xml:space="preserve">n, Johanna Bergkvist, Nurun Nahar, Jakob Walve, Sten Littmann, et al. 2015.</w:t>
      </w:r>
      <w:r>
        <w:t xml:space="preserve"> </w:t>
      </w:r>
      <w:r>
        <w:t xml:space="preserve">“</w:t>
      </w:r>
      <w:r>
        <w:t xml:space="preserve">N-Fixation Ammonium Release and N-Transfer to the Microbial and Classical Food Web within a Plankton Community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ISME</w:t>
      </w:r>
      <w:r>
        <w:rPr>
          <w:i/>
        </w:rPr>
        <w:t xml:space="preserve"> </w:t>
      </w:r>
      <w:r>
        <w:rPr>
          <w:i/>
        </w:rPr>
        <w:t xml:space="preserve">Journal</w:t>
      </w:r>
      <w:r>
        <w:t xml:space="preserve"> </w:t>
      </w:r>
      <w:r>
        <w:t xml:space="preserve">10 (2): 450–59.</w:t>
      </w:r>
      <w:r>
        <w:t xml:space="preserve"> </w:t>
      </w:r>
      <w:hyperlink r:id="rId64">
        <w:r>
          <w:rPr>
            <w:rStyle w:val="Hyperlink"/>
          </w:rPr>
          <w:t xml:space="preserve">https://doi.org/10.1038/ismej.2015.126.</w:t>
        </w:r>
      </w:hyperlink>
    </w:p>
    <w:p>
      <w:pPr>
        <w:pStyle w:val="BodyText"/>
      </w:pPr>
      <w:r>
        <w:t xml:space="preserve">DeRito, C. M., G. M. Pumphrey, and E. L. Madsen. 2005.</w:t>
      </w:r>
      <w:r>
        <w:t xml:space="preserve"> </w:t>
      </w:r>
      <w:r>
        <w:t xml:space="preserve">“</w:t>
      </w:r>
      <w:r>
        <w:t xml:space="preserve">Use of Field-Based Stable Isotope Probing To Identify Adapted Populations and Track Carbon Flow through a Phenol-Degrading Soil Microbial Community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Applied and Environmental Microbiology</w:t>
      </w:r>
      <w:r>
        <w:t xml:space="preserve"> </w:t>
      </w:r>
      <w:r>
        <w:t xml:space="preserve">71 (12): 7858–65.</w:t>
      </w:r>
      <w:r>
        <w:t xml:space="preserve"> </w:t>
      </w:r>
      <w:hyperlink r:id="rId65">
        <w:r>
          <w:rPr>
            <w:rStyle w:val="Hyperlink"/>
          </w:rPr>
          <w:t xml:space="preserve">https://doi.org/10.1128/aem.71.12.7858-7865.2005.</w:t>
        </w:r>
      </w:hyperlink>
    </w:p>
    <w:p>
      <w:pPr>
        <w:pStyle w:val="BodyText"/>
      </w:pPr>
      <w:r>
        <w:t xml:space="preserve">Pepe-Ranney, Charles, Ashley N. Campbell, Chantal N. Koechli, Sean Berthrong, and Daniel H. Buckley. 2016.</w:t>
      </w:r>
      <w:r>
        <w:t xml:space="preserve"> </w:t>
      </w:r>
      <w:r>
        <w:t xml:space="preserve">“</w:t>
      </w:r>
      <w:r>
        <w:t xml:space="preserve">Unearthing the Ecology of Soil Microorganisms Using a High Resolution</w:t>
      </w:r>
      <w:r>
        <w:t xml:space="preserve"> </w:t>
      </w:r>
      <w:r>
        <w:t xml:space="preserve">DNA</w:t>
      </w:r>
      <w:r>
        <w:t xml:space="preserve">-</w:t>
      </w:r>
      <w:r>
        <w:t xml:space="preserve">SIP</w:t>
      </w:r>
      <w:r>
        <w:t xml:space="preserve"> </w:t>
      </w:r>
      <w:r>
        <w:t xml:space="preserve">Approach to Explore Cellulose and Xylose Metabolism in Soil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Microbiology</w:t>
      </w:r>
      <w:r>
        <w:t xml:space="preserve"> </w:t>
      </w:r>
      <w:r>
        <w:t xml:space="preserve">7 (May).</w:t>
      </w:r>
      <w:r>
        <w:t xml:space="preserve"> </w:t>
      </w:r>
      <w:hyperlink r:id="rId66">
        <w:r>
          <w:rPr>
            <w:rStyle w:val="Hyperlink"/>
          </w:rPr>
          <w:t xml:space="preserve">https://doi.org/10.3389/fmicb.2016.00703.</w:t>
        </w:r>
      </w:hyperlink>
    </w:p>
    <w:p>
      <w:pPr>
        <w:pStyle w:val="BodyText"/>
      </w:pPr>
      <w:r>
        <w:t xml:space="preserve">Chen, Yin, Marc G. Dumont, Josh D. Neufeld, Levente Bodrossy, Nancy Stralis-Pavese, Niall P. McNamara, Nick Ostle, Maria J. I. Briones, and J. Colin Murrell. 2008.</w:t>
      </w:r>
      <w:r>
        <w:t xml:space="preserve"> </w:t>
      </w:r>
      <w:r>
        <w:t xml:space="preserve">“</w:t>
      </w:r>
      <w:r>
        <w:t xml:space="preserve">Revealing the Uncultivated Majority: Combining</w:t>
      </w:r>
      <w:r>
        <w:t xml:space="preserve"> </w:t>
      </w:r>
      <w:r>
        <w:t xml:space="preserve">DNA</w:t>
      </w:r>
      <w:r>
        <w:t xml:space="preserve"> </w:t>
      </w:r>
      <w:r>
        <w:t xml:space="preserve">Stable-Isotope Probing Multiple Displacement Amplification and Metagenomic Analyses of Uncultivated Methylocystis in Acidic Peatlands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Environmental Microbiology</w:t>
      </w:r>
      <w:r>
        <w:t xml:space="preserve"> </w:t>
      </w:r>
      <w:r>
        <w:t xml:space="preserve">10 (10): 2609–22.</w:t>
      </w:r>
      <w:r>
        <w:t xml:space="preserve"> </w:t>
      </w:r>
      <w:hyperlink r:id="rId67">
        <w:r>
          <w:rPr>
            <w:rStyle w:val="Hyperlink"/>
          </w:rPr>
          <w:t xml:space="preserve">https://doi.org/10.1111/j.1462-2920.2008.01683.x.</w:t>
        </w:r>
      </w:hyperlink>
    </w:p>
    <w:p>
      <w:pPr>
        <w:pStyle w:val="BodyText"/>
      </w:pPr>
      <w:r>
        <w:t xml:space="preserve">Lueders, Tillmann, Mike Manefield, and Michael W. Friedrich. 2003.</w:t>
      </w:r>
      <w:r>
        <w:t xml:space="preserve"> </w:t>
      </w:r>
      <w:r>
        <w:t xml:space="preserve">“</w:t>
      </w:r>
      <w:r>
        <w:t xml:space="preserve">Enhanced Sensitivity of</w:t>
      </w:r>
      <w:r>
        <w:t xml:space="preserve"> </w:t>
      </w:r>
      <w:r>
        <w:t xml:space="preserve">DNA</w:t>
      </w:r>
      <w:r>
        <w:t xml:space="preserve">- and</w:t>
      </w:r>
      <w:r>
        <w:t xml:space="preserve"> </w:t>
      </w:r>
      <w:r>
        <w:t xml:space="preserve">RRNA</w:t>
      </w:r>
      <w:r>
        <w:t xml:space="preserve">-Based Stable Isotope Probing by Fractionation and Quantitative Analysis of Isopycnic Centrifugation Gradients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Environmental Microbiology</w:t>
      </w:r>
      <w:r>
        <w:t xml:space="preserve"> </w:t>
      </w:r>
      <w:r>
        <w:t xml:space="preserve">6 (1): 73–78.</w:t>
      </w:r>
      <w:r>
        <w:t xml:space="preserve"> </w:t>
      </w:r>
      <w:hyperlink r:id="rId39">
        <w:r>
          <w:rPr>
            <w:rStyle w:val="Hyperlink"/>
          </w:rPr>
          <w:t xml:space="preserve">https://doi.org/10.1046/j.1462-2920.2003.00536.x.</w:t>
        </w:r>
      </w:hyperlink>
    </w:p>
    <w:p>
      <w:pPr>
        <w:pStyle w:val="BodyText"/>
      </w:pPr>
      <w:r>
        <w:t xml:space="preserve">Youngblut, Nicholas D., Samuel E. Barnett, and Daniel H. Buckley. 2018.</w:t>
      </w:r>
      <w:r>
        <w:t xml:space="preserve"> </w:t>
      </w:r>
      <w:r>
        <w:t xml:space="preserve">“</w:t>
      </w:r>
      <w:r>
        <w:t xml:space="preserve">SIPSim</w:t>
      </w:r>
      <w:r>
        <w:t xml:space="preserve">: A Modeling Toolkit to Predict Accuracy and Aid Design of</w:t>
      </w:r>
      <w:r>
        <w:t xml:space="preserve"> </w:t>
      </w:r>
      <w:r>
        <w:t xml:space="preserve">DNA</w:t>
      </w:r>
      <w:r>
        <w:t xml:space="preserve">-</w:t>
      </w:r>
      <w:r>
        <w:t xml:space="preserve">SIP</w:t>
      </w:r>
      <w:r>
        <w:t xml:space="preserve"> </w:t>
      </w:r>
      <w:r>
        <w:t xml:space="preserve">Experiments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Microbiology</w:t>
      </w:r>
      <w:r>
        <w:t xml:space="preserve"> </w:t>
      </w:r>
      <w:r>
        <w:t xml:space="preserve">9 (March).</w:t>
      </w:r>
      <w:r>
        <w:t xml:space="preserve"> </w:t>
      </w:r>
      <w:hyperlink r:id="rId68">
        <w:r>
          <w:rPr>
            <w:rStyle w:val="Hyperlink"/>
          </w:rPr>
          <w:t xml:space="preserve">https://doi.org/10.3389/fmicb.2018.00570.</w:t>
        </w:r>
      </w:hyperlink>
    </w:p>
    <w:p>
      <w:pPr>
        <w:pStyle w:val="BodyText"/>
      </w:pPr>
      <w:r>
        <w:t xml:space="preserve">Xia, Weiwei, Caixia Zhang, Xiaowei Zeng, Youzhi Feng, Jiahua Weng, Xiangui Lin, Jianguo Zhu, et al. 2011.</w:t>
      </w:r>
      <w:r>
        <w:t xml:space="preserve"> </w:t>
      </w:r>
      <w:r>
        <w:t xml:space="preserve">“</w:t>
      </w:r>
      <w:r>
        <w:t xml:space="preserve">Autotrophic Growth of Nitrifying Community in an Agricultural Soil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ISME</w:t>
      </w:r>
      <w:r>
        <w:rPr>
          <w:i/>
        </w:rPr>
        <w:t xml:space="preserve"> </w:t>
      </w:r>
      <w:r>
        <w:rPr>
          <w:i/>
        </w:rPr>
        <w:t xml:space="preserve">Journal</w:t>
      </w:r>
      <w:r>
        <w:t xml:space="preserve"> </w:t>
      </w:r>
      <w:r>
        <w:t xml:space="preserve">5 (7): 1226–36.</w:t>
      </w:r>
      <w:r>
        <w:t xml:space="preserve"> </w:t>
      </w:r>
      <w:hyperlink r:id="rId69">
        <w:r>
          <w:rPr>
            <w:rStyle w:val="Hyperlink"/>
          </w:rPr>
          <w:t xml:space="preserve">https://doi.org/10.1038/ismej.2011.5.</w:t>
        </w:r>
      </w:hyperlink>
    </w:p>
    <w:p>
      <w:pPr>
        <w:pStyle w:val="BodyText"/>
      </w:pPr>
      <w:r>
        <w:t xml:space="preserve">Lee, Tae Kwon, Jaejin Lee, Woo Jun Sul, Shoko Iwai, Benli Chai, James M. Tiedje, and Joonhong Park. 2011.</w:t>
      </w:r>
      <w:r>
        <w:t xml:space="preserve"> </w:t>
      </w:r>
      <w:r>
        <w:t xml:space="preserve">“</w:t>
      </w:r>
      <w:r>
        <w:t xml:space="preserve">Novel Biphenyl-Oxidizing Bacteria and Dioxygenase Genes from a Korean Tidal Mudflat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Applied and Environmental Microbiology</w:t>
      </w:r>
      <w:r>
        <w:t xml:space="preserve"> </w:t>
      </w:r>
      <w:r>
        <w:t xml:space="preserve">77 (11): 3888–91.</w:t>
      </w:r>
      <w:r>
        <w:t xml:space="preserve"> </w:t>
      </w:r>
      <w:hyperlink r:id="rId70">
        <w:r>
          <w:rPr>
            <w:rStyle w:val="Hyperlink"/>
          </w:rPr>
          <w:t xml:space="preserve">https://doi.org/10.1128/aem.00023-11.</w:t>
        </w:r>
      </w:hyperlink>
    </w:p>
    <w:p>
      <w:pPr>
        <w:pStyle w:val="BodyText"/>
      </w:pPr>
      <w:r>
        <w:t xml:space="preserve">Pilloni, Giovanni, Frederick von Netzer, Marion Engel, and Tillmann Lueders. 2011.</w:t>
      </w:r>
      <w:r>
        <w:t xml:space="preserve"> </w:t>
      </w:r>
      <w:r>
        <w:t xml:space="preserve">“</w:t>
      </w:r>
      <w:r>
        <w:t xml:space="preserve">Electron Acceptor-Dependent Identification of Key Anaerobic Toluene Degraders at a Tar-Oil-Contaminated Aquifer by Pyro-</w:t>
      </w:r>
      <w:r>
        <w:t xml:space="preserve">SIP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FEMS</w:t>
      </w:r>
      <w:r>
        <w:rPr>
          <w:i/>
        </w:rPr>
        <w:t xml:space="preserve"> </w:t>
      </w:r>
      <w:r>
        <w:rPr>
          <w:i/>
        </w:rPr>
        <w:t xml:space="preserve">Microbiology Ecology</w:t>
      </w:r>
      <w:r>
        <w:t xml:space="preserve"> </w:t>
      </w:r>
      <w:r>
        <w:t xml:space="preserve">78 (1): 165–75.</w:t>
      </w:r>
      <w:r>
        <w:t xml:space="preserve"> </w:t>
      </w:r>
      <w:hyperlink r:id="rId71">
        <w:r>
          <w:rPr>
            <w:rStyle w:val="Hyperlink"/>
          </w:rPr>
          <w:t xml:space="preserve">https://doi.org/10.1111/j.1574-6941.2011.01083.x.</w:t>
        </w:r>
      </w:hyperlink>
    </w:p>
    <w:p>
      <w:pPr>
        <w:pStyle w:val="BodyText"/>
      </w:pPr>
      <w:r>
        <w:t xml:space="preserve">Zemb, O., M. Lee, M.L. Gutierrez-Zamora, J. Hamelin, K. Coupland, N.H. Hazrin-Chong, I. Taleb, and M. Manefield. 2012.</w:t>
      </w:r>
      <w:r>
        <w:t xml:space="preserve"> </w:t>
      </w:r>
      <w:r>
        <w:t xml:space="preserve">“</w:t>
      </w:r>
      <w:r>
        <w:t xml:space="preserve">Improvement of</w:t>
      </w:r>
      <w:r>
        <w:t xml:space="preserve"> </w:t>
      </w:r>
      <w:r>
        <w:t xml:space="preserve">RNA</w:t>
      </w:r>
      <w:r>
        <w:t xml:space="preserve">-</w:t>
      </w:r>
      <w:r>
        <w:t xml:space="preserve">SIP</w:t>
      </w:r>
      <w:r>
        <w:t xml:space="preserve"> </w:t>
      </w:r>
      <w:r>
        <w:t xml:space="preserve">by Pyrosequencing to Identify Putative 4-n-Nonylphenol Degraders in Activated Sludge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Water Research</w:t>
      </w:r>
      <w:r>
        <w:t xml:space="preserve"> </w:t>
      </w:r>
      <w:r>
        <w:t xml:space="preserve">46 (3): 601–10.</w:t>
      </w:r>
      <w:r>
        <w:t xml:space="preserve"> </w:t>
      </w:r>
      <w:hyperlink r:id="rId72">
        <w:r>
          <w:rPr>
            <w:rStyle w:val="Hyperlink"/>
          </w:rPr>
          <w:t xml:space="preserve">https://doi.org/10.1016/j.watres.2011.10.047.</w:t>
        </w:r>
      </w:hyperlink>
    </w:p>
    <w:p>
      <w:pPr>
        <w:pStyle w:val="BodyText"/>
      </w:pPr>
      <w:r>
        <w:t xml:space="preserve">Zumsteg, Anita, Stefan Schmutz, and Beat Frey. 2013.</w:t>
      </w:r>
      <w:r>
        <w:t xml:space="preserve"> </w:t>
      </w:r>
      <w:r>
        <w:t xml:space="preserve">“</w:t>
      </w:r>
      <w:r>
        <w:t xml:space="preserve">Identification of Biomass Utilizing Bacteria in a Carbon-Depleted Glacier Forefield Soil by the Use of13C</w:t>
      </w:r>
      <w:r>
        <w:t xml:space="preserve"> </w:t>
      </w:r>
      <w:r>
        <w:t xml:space="preserve">DNA</w:t>
      </w:r>
      <w:r>
        <w:t xml:space="preserve"> </w:t>
      </w:r>
      <w:r>
        <w:t xml:space="preserve">Stable Isotope Probing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Environmental Microbiology Reports</w:t>
      </w:r>
      <w:r>
        <w:t xml:space="preserve"> </w:t>
      </w:r>
      <w:r>
        <w:t xml:space="preserve">5 (3): 424–37.</w:t>
      </w:r>
      <w:r>
        <w:t xml:space="preserve"> </w:t>
      </w:r>
      <w:hyperlink r:id="rId73">
        <w:r>
          <w:rPr>
            <w:rStyle w:val="Hyperlink"/>
          </w:rPr>
          <w:t xml:space="preserve">https://doi.org/10.1111/1758-2229.12027.</w:t>
        </w:r>
      </w:hyperlink>
    </w:p>
    <w:p>
      <w:pPr>
        <w:pStyle w:val="BodyText"/>
      </w:pPr>
      <w:r>
        <w:t xml:space="preserve">McMurdie, Paul J., and Susan Holmes. 2014.</w:t>
      </w:r>
      <w:r>
        <w:t xml:space="preserve"> </w:t>
      </w:r>
      <w:r>
        <w:t xml:space="preserve">“</w:t>
      </w:r>
      <w:r>
        <w:t xml:space="preserve">Waste Not Want Not: Why Rarefying Microbiome Data Is Inadmissible</w:t>
      </w:r>
      <w:r>
        <w:t xml:space="preserve">”</w:t>
      </w:r>
      <w:r>
        <w:t xml:space="preserve">. Edited by Alice Carolyn McHardy.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Computational Biology</w:t>
      </w:r>
      <w:r>
        <w:t xml:space="preserve"> </w:t>
      </w:r>
      <w:r>
        <w:t xml:space="preserve">10 (4): e1003531.</w:t>
      </w:r>
      <w:r>
        <w:t xml:space="preserve"> </w:t>
      </w:r>
      <w:hyperlink r:id="rId74">
        <w:r>
          <w:rPr>
            <w:rStyle w:val="Hyperlink"/>
          </w:rPr>
          <w:t xml:space="preserve">https://doi.org/10.1371/journal.pcbi.1003531.</w:t>
        </w:r>
      </w:hyperlink>
    </w:p>
    <w:p>
      <w:pPr>
        <w:pStyle w:val="BodyText"/>
      </w:pPr>
      <w:r>
        <w:t xml:space="preserve">Faust, Karoline, and Jeroen Raes. 2012.</w:t>
      </w:r>
      <w:r>
        <w:t xml:space="preserve"> </w:t>
      </w:r>
      <w:r>
        <w:t xml:space="preserve">“</w:t>
      </w:r>
      <w:r>
        <w:t xml:space="preserve">Microbial Interactions: from Networks to Models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Reviews Microbiology</w:t>
      </w:r>
      <w:r>
        <w:t xml:space="preserve"> </w:t>
      </w:r>
      <w:r>
        <w:t xml:space="preserve">10 (8): 538–50.</w:t>
      </w:r>
      <w:r>
        <w:t xml:space="preserve"> </w:t>
      </w:r>
      <w:hyperlink r:id="rId75">
        <w:r>
          <w:rPr>
            <w:rStyle w:val="Hyperlink"/>
          </w:rPr>
          <w:t xml:space="preserve">https://doi.org/10.1038/nrmicro2832.</w:t>
        </w:r>
      </w:hyperlink>
    </w:p>
    <w:p>
      <w:pPr>
        <w:pStyle w:val="BodyText"/>
      </w:pPr>
      <w:r>
        <w:t xml:space="preserve">Weiss, Sophie, Zhenjiang Zech Xu, Shyamal Peddada, Amnon Amir, Kyle Bittinger, Antonio Gonzalez, Catherine Lozupone, et al. 2017.</w:t>
      </w:r>
      <w:r>
        <w:t xml:space="preserve"> </w:t>
      </w:r>
      <w:r>
        <w:t xml:space="preserve">“</w:t>
      </w:r>
      <w:r>
        <w:t xml:space="preserve">Normalization and Microbial Differential Abundance Strategies Depend upon Data Characteristics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Microbiome</w:t>
      </w:r>
      <w:r>
        <w:t xml:space="preserve"> </w:t>
      </w:r>
      <w:r>
        <w:t xml:space="preserve">5 (1).</w:t>
      </w:r>
      <w:r>
        <w:t xml:space="preserve"> </w:t>
      </w:r>
      <w:hyperlink r:id="rId76">
        <w:r>
          <w:rPr>
            <w:rStyle w:val="Hyperlink"/>
          </w:rPr>
          <w:t xml:space="preserve">https://doi.org/10.1186/s40168-017-0237-y.</w:t>
        </w:r>
      </w:hyperlink>
    </w:p>
    <w:p>
      <w:pPr>
        <w:pStyle w:val="BodyText"/>
      </w:pPr>
      <w:r>
        <w:t xml:space="preserve">Youngblut, Nicholas D., Samuel E. Barnett, and Daniel H. Buckley. 2018.</w:t>
      </w:r>
      <w:r>
        <w:t xml:space="preserve"> </w:t>
      </w:r>
      <w:r>
        <w:t xml:space="preserve">“</w:t>
      </w:r>
      <w:r>
        <w:t xml:space="preserve">HTSSIP</w:t>
      </w:r>
      <w:r>
        <w:t xml:space="preserve">: An R Package for Analysis of High Throughput Sequencing Data from Nucleic Acid Stable Isotope Probing (</w:t>
      </w:r>
      <w:r>
        <w:t xml:space="preserve">SIP</w:t>
      </w:r>
      <w:r>
        <w:t xml:space="preserve">) Experiments</w:t>
      </w:r>
      <w:r>
        <w:t xml:space="preserve">”</w:t>
      </w:r>
      <w:r>
        <w:t xml:space="preserve">. Edited by Chongle Pan.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13 (1): e0189616.</w:t>
      </w:r>
      <w:r>
        <w:t xml:space="preserve"> </w:t>
      </w:r>
      <w:hyperlink r:id="rId77">
        <w:r>
          <w:rPr>
            <w:rStyle w:val="Hyperlink"/>
          </w:rPr>
          <w:t xml:space="preserve">https://doi.org/10.1371/journal.pone.0189616.</w:t>
        </w:r>
      </w:hyperlink>
    </w:p>
    <w:p>
      <w:pPr>
        <w:pStyle w:val="BodyText"/>
      </w:pPr>
      <w:r>
        <w:t xml:space="preserve">Daebeler, Anne, Paul LE Bodelier, Zheng Yan, Mariet M Hefting, Zhongjun Jia, and Hendrikus J Laanbroek. 2014.</w:t>
      </w:r>
      <w:r>
        <w:t xml:space="preserve"> </w:t>
      </w:r>
      <w:r>
        <w:t xml:space="preserve">“</w:t>
      </w:r>
      <w:r>
        <w:t xml:space="preserve">Interactions between Thaumarchaea Nitrospira and Methanotrophs Modulate Autotrophic Nitrification in Volcanic Grassland Soil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ISME</w:t>
      </w:r>
      <w:r>
        <w:rPr>
          <w:i/>
        </w:rPr>
        <w:t xml:space="preserve"> </w:t>
      </w:r>
      <w:r>
        <w:rPr>
          <w:i/>
        </w:rPr>
        <w:t xml:space="preserve">Journal</w:t>
      </w:r>
      <w:r>
        <w:t xml:space="preserve"> </w:t>
      </w:r>
      <w:r>
        <w:t xml:space="preserve">8 (12): 2397–2410.</w:t>
      </w:r>
      <w:r>
        <w:t xml:space="preserve"> </w:t>
      </w:r>
      <w:hyperlink r:id="rId78">
        <w:r>
          <w:rPr>
            <w:rStyle w:val="Hyperlink"/>
          </w:rPr>
          <w:t xml:space="preserve">https://doi.org/10.1038/ismej.2014.81.</w:t>
        </w:r>
      </w:hyperlink>
    </w:p>
    <w:p>
      <w:pPr>
        <w:pStyle w:val="BodyText"/>
      </w:pPr>
      <w:r>
        <w:t xml:space="preserve">Ho, Adrian, Roey Angel, Annelies J. Veraart, Anne Daebeler, Zhongjun Jia, Sang Yoon Kim, Frederiek-Maarten Kerckhof, Nico Boon, and Paul L. E. Bodelier. 2016.</w:t>
      </w:r>
      <w:r>
        <w:t xml:space="preserve"> </w:t>
      </w:r>
      <w:r>
        <w:t xml:space="preserve">“</w:t>
      </w:r>
      <w:r>
        <w:t xml:space="preserve">Biotic Interactions in Microbial Communities as Modulators of Biogeochemical Processes: Methanotrophy as a Model System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Microbiology</w:t>
      </w:r>
      <w:r>
        <w:t xml:space="preserve"> </w:t>
      </w:r>
      <w:r>
        <w:t xml:space="preserve">7 (August).</w:t>
      </w:r>
      <w:r>
        <w:t xml:space="preserve"> </w:t>
      </w:r>
      <w:hyperlink r:id="rId79">
        <w:r>
          <w:rPr>
            <w:rStyle w:val="Hyperlink"/>
          </w:rPr>
          <w:t xml:space="preserve">https://doi.org/10.3389/fmicb.2016.01285.</w:t>
        </w:r>
      </w:hyperlink>
    </w:p>
    <w:p>
      <w:pPr>
        <w:pStyle w:val="BodyText"/>
      </w:pPr>
      <w:r>
        <w:t xml:space="preserve">Berry, David, and Stefanie Widder. 2014.</w:t>
      </w:r>
      <w:r>
        <w:t xml:space="preserve"> </w:t>
      </w:r>
      <w:r>
        <w:t xml:space="preserve">“</w:t>
      </w:r>
      <w:r>
        <w:t xml:space="preserve">Deciphering Microbial Interactions and Detecting Keystone Species with Co-Occurrence Networks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Microbiology</w:t>
      </w:r>
      <w:r>
        <w:t xml:space="preserve"> </w:t>
      </w:r>
      <w:r>
        <w:t xml:space="preserve">5 (May).</w:t>
      </w:r>
      <w:r>
        <w:t xml:space="preserve"> </w:t>
      </w:r>
      <w:hyperlink r:id="rId80">
        <w:r>
          <w:rPr>
            <w:rStyle w:val="Hyperlink"/>
          </w:rPr>
          <w:t xml:space="preserve">https://doi.org/10.3389/fmicb.2014.00219.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d9765d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4" Target="https://doi.org/10.1002/rcm.1908." TargetMode="External" /><Relationship Type="http://schemas.openxmlformats.org/officeDocument/2006/relationships/hyperlink" Id="rId56" Target="https://doi.org/10.1002/rcm.3684." TargetMode="External" /><Relationship Type="http://schemas.openxmlformats.org/officeDocument/2006/relationships/hyperlink" Id="rId49" Target="https://doi.org/10.1002/rcm.782." TargetMode="External" /><Relationship Type="http://schemas.openxmlformats.org/officeDocument/2006/relationships/hyperlink" Id="rId50" Target="https://doi.org/10.1007/s00248-011-9826-7." TargetMode="External" /><Relationship Type="http://schemas.openxmlformats.org/officeDocument/2006/relationships/hyperlink" Id="rId55" Target="https://doi.org/10.1016/j.copbio.2006.01.003." TargetMode="External" /><Relationship Type="http://schemas.openxmlformats.org/officeDocument/2006/relationships/hyperlink" Id="rId58" Target="https://doi.org/10.1016/j.copbio.2016.04.018." TargetMode="External" /><Relationship Type="http://schemas.openxmlformats.org/officeDocument/2006/relationships/hyperlink" Id="rId42" Target="https://doi.org/10.1016/j.micres.2006.01.016." TargetMode="External" /><Relationship Type="http://schemas.openxmlformats.org/officeDocument/2006/relationships/hyperlink" Id="rId63" Target="https://doi.org/10.1016/j.orggeochem.2005.01.005." TargetMode="External" /><Relationship Type="http://schemas.openxmlformats.org/officeDocument/2006/relationships/hyperlink" Id="rId72" Target="https://doi.org/10.1016/j.watres.2011.10.047." TargetMode="External" /><Relationship Type="http://schemas.openxmlformats.org/officeDocument/2006/relationships/hyperlink" Id="rId48" Target="https://doi.org/10.1021/acschembio.6b00890." TargetMode="External" /><Relationship Type="http://schemas.openxmlformats.org/officeDocument/2006/relationships/hyperlink" Id="rId52" Target="https://doi.org/10.1038/33900." TargetMode="External" /><Relationship Type="http://schemas.openxmlformats.org/officeDocument/2006/relationships/hyperlink" Id="rId51" Target="https://doi.org/10.1038/35001054." TargetMode="External" /><Relationship Type="http://schemas.openxmlformats.org/officeDocument/2006/relationships/hyperlink" Id="rId69" Target="https://doi.org/10.1038/ismej.2011.5." TargetMode="External" /><Relationship Type="http://schemas.openxmlformats.org/officeDocument/2006/relationships/hyperlink" Id="rId78" Target="https://doi.org/10.1038/ismej.2014.81." TargetMode="External" /><Relationship Type="http://schemas.openxmlformats.org/officeDocument/2006/relationships/hyperlink" Id="rId61" Target="https://doi.org/10.1038/ismej.2015.106." TargetMode="External" /><Relationship Type="http://schemas.openxmlformats.org/officeDocument/2006/relationships/hyperlink" Id="rId64" Target="https://doi.org/10.1038/ismej.2015.126." TargetMode="External" /><Relationship Type="http://schemas.openxmlformats.org/officeDocument/2006/relationships/hyperlink" Id="rId75" Target="https://doi.org/10.1038/nrmicro2832." TargetMode="External" /><Relationship Type="http://schemas.openxmlformats.org/officeDocument/2006/relationships/hyperlink" Id="rId39" Target="https://doi.org/10.1046/j.1462-2920.2003.00536.x." TargetMode="External" /><Relationship Type="http://schemas.openxmlformats.org/officeDocument/2006/relationships/hyperlink" Id="rId47" Target="https://doi.org/10.1073/pnas.1420406112." TargetMode="External" /><Relationship Type="http://schemas.openxmlformats.org/officeDocument/2006/relationships/hyperlink" Id="rId40" Target="https://doi.org/10.1073/pnas.44.7.671." TargetMode="External" /><Relationship Type="http://schemas.openxmlformats.org/officeDocument/2006/relationships/hyperlink" Id="rId41" Target="https://doi.org/10.1073/pnas.45.7.1039." TargetMode="External" /><Relationship Type="http://schemas.openxmlformats.org/officeDocument/2006/relationships/hyperlink" Id="rId46" Target="https://doi.org/10.1111/1462-2920.12140." TargetMode="External" /><Relationship Type="http://schemas.openxmlformats.org/officeDocument/2006/relationships/hyperlink" Id="rId38" Target="https://doi.org/10.1111/1462-2920.13954." TargetMode="External" /><Relationship Type="http://schemas.openxmlformats.org/officeDocument/2006/relationships/hyperlink" Id="rId73" Target="https://doi.org/10.1111/1758-2229.12027." TargetMode="External" /><Relationship Type="http://schemas.openxmlformats.org/officeDocument/2006/relationships/hyperlink" Id="rId43" Target="https://doi.org/10.1111/1758-2229.12201." TargetMode="External" /><Relationship Type="http://schemas.openxmlformats.org/officeDocument/2006/relationships/hyperlink" Id="rId57" Target="https://doi.org/10.1111/j.1462-2920.2007.01478.x." TargetMode="External" /><Relationship Type="http://schemas.openxmlformats.org/officeDocument/2006/relationships/hyperlink" Id="rId67" Target="https://doi.org/10.1111/j.1462-2920.2008.01683.x." TargetMode="External" /><Relationship Type="http://schemas.openxmlformats.org/officeDocument/2006/relationships/hyperlink" Id="rId53" Target="https://doi.org/10.1111/j.1574-6941.2001.tb00890.x." TargetMode="External" /><Relationship Type="http://schemas.openxmlformats.org/officeDocument/2006/relationships/hyperlink" Id="rId71" Target="https://doi.org/10.1111/j.1574-6941.2011.01083.x." TargetMode="External" /><Relationship Type="http://schemas.openxmlformats.org/officeDocument/2006/relationships/hyperlink" Id="rId70" Target="https://doi.org/10.1128/aem.00023-11." TargetMode="External" /><Relationship Type="http://schemas.openxmlformats.org/officeDocument/2006/relationships/hyperlink" Id="rId62" Target="https://doi.org/10.1128/aem.02609-06." TargetMode="External" /><Relationship Type="http://schemas.openxmlformats.org/officeDocument/2006/relationships/hyperlink" Id="rId60" Target="https://doi.org/10.1128/aem.02610-06." TargetMode="External" /><Relationship Type="http://schemas.openxmlformats.org/officeDocument/2006/relationships/hyperlink" Id="rId45" Target="https://doi.org/10.1128/aem.02735-10." TargetMode="External" /><Relationship Type="http://schemas.openxmlformats.org/officeDocument/2006/relationships/hyperlink" Id="rId54" Target="https://doi.org/10.1128/aem.69.11.6703-6714.2003." TargetMode="External" /><Relationship Type="http://schemas.openxmlformats.org/officeDocument/2006/relationships/hyperlink" Id="rId65" Target="https://doi.org/10.1128/aem.71.12.7858-7865.2005." TargetMode="External" /><Relationship Type="http://schemas.openxmlformats.org/officeDocument/2006/relationships/hyperlink" Id="rId76" Target="https://doi.org/10.1186/s40168-017-0237-y." TargetMode="External" /><Relationship Type="http://schemas.openxmlformats.org/officeDocument/2006/relationships/hyperlink" Id="rId74" Target="https://doi.org/10.1371/journal.pcbi.1003531." TargetMode="External" /><Relationship Type="http://schemas.openxmlformats.org/officeDocument/2006/relationships/hyperlink" Id="rId77" Target="https://doi.org/10.1371/journal.pone.0189616." TargetMode="External" /><Relationship Type="http://schemas.openxmlformats.org/officeDocument/2006/relationships/hyperlink" Id="rId59" Target="https://doi.org/10.1890/13-1031.1." TargetMode="External" /><Relationship Type="http://schemas.openxmlformats.org/officeDocument/2006/relationships/hyperlink" Id="rId80" Target="https://doi.org/10.3389/fmicb.2014.00219." TargetMode="External" /><Relationship Type="http://schemas.openxmlformats.org/officeDocument/2006/relationships/hyperlink" Id="rId66" Target="https://doi.org/10.3389/fmicb.2016.00703." TargetMode="External" /><Relationship Type="http://schemas.openxmlformats.org/officeDocument/2006/relationships/hyperlink" Id="rId79" Target="https://doi.org/10.3389/fmicb.2016.01285." TargetMode="External" /><Relationship Type="http://schemas.openxmlformats.org/officeDocument/2006/relationships/hyperlink" Id="rId68" Target="https://doi.org/10.3389/fmicb.2018.00570." TargetMode="External" /><Relationship Type="http://schemas.openxmlformats.org/officeDocument/2006/relationships/hyperlink" Id="rId36" Target="https://www.authorea.com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4" Target="https://doi.org/10.1002/rcm.1908." TargetMode="External" /><Relationship Type="http://schemas.openxmlformats.org/officeDocument/2006/relationships/hyperlink" Id="rId56" Target="https://doi.org/10.1002/rcm.3684." TargetMode="External" /><Relationship Type="http://schemas.openxmlformats.org/officeDocument/2006/relationships/hyperlink" Id="rId49" Target="https://doi.org/10.1002/rcm.782." TargetMode="External" /><Relationship Type="http://schemas.openxmlformats.org/officeDocument/2006/relationships/hyperlink" Id="rId50" Target="https://doi.org/10.1007/s00248-011-9826-7." TargetMode="External" /><Relationship Type="http://schemas.openxmlformats.org/officeDocument/2006/relationships/hyperlink" Id="rId55" Target="https://doi.org/10.1016/j.copbio.2006.01.003." TargetMode="External" /><Relationship Type="http://schemas.openxmlformats.org/officeDocument/2006/relationships/hyperlink" Id="rId58" Target="https://doi.org/10.1016/j.copbio.2016.04.018." TargetMode="External" /><Relationship Type="http://schemas.openxmlformats.org/officeDocument/2006/relationships/hyperlink" Id="rId42" Target="https://doi.org/10.1016/j.micres.2006.01.016." TargetMode="External" /><Relationship Type="http://schemas.openxmlformats.org/officeDocument/2006/relationships/hyperlink" Id="rId63" Target="https://doi.org/10.1016/j.orggeochem.2005.01.005." TargetMode="External" /><Relationship Type="http://schemas.openxmlformats.org/officeDocument/2006/relationships/hyperlink" Id="rId72" Target="https://doi.org/10.1016/j.watres.2011.10.047." TargetMode="External" /><Relationship Type="http://schemas.openxmlformats.org/officeDocument/2006/relationships/hyperlink" Id="rId48" Target="https://doi.org/10.1021/acschembio.6b00890." TargetMode="External" /><Relationship Type="http://schemas.openxmlformats.org/officeDocument/2006/relationships/hyperlink" Id="rId52" Target="https://doi.org/10.1038/33900." TargetMode="External" /><Relationship Type="http://schemas.openxmlformats.org/officeDocument/2006/relationships/hyperlink" Id="rId51" Target="https://doi.org/10.1038/35001054." TargetMode="External" /><Relationship Type="http://schemas.openxmlformats.org/officeDocument/2006/relationships/hyperlink" Id="rId69" Target="https://doi.org/10.1038/ismej.2011.5." TargetMode="External" /><Relationship Type="http://schemas.openxmlformats.org/officeDocument/2006/relationships/hyperlink" Id="rId78" Target="https://doi.org/10.1038/ismej.2014.81." TargetMode="External" /><Relationship Type="http://schemas.openxmlformats.org/officeDocument/2006/relationships/hyperlink" Id="rId61" Target="https://doi.org/10.1038/ismej.2015.106." TargetMode="External" /><Relationship Type="http://schemas.openxmlformats.org/officeDocument/2006/relationships/hyperlink" Id="rId64" Target="https://doi.org/10.1038/ismej.2015.126." TargetMode="External" /><Relationship Type="http://schemas.openxmlformats.org/officeDocument/2006/relationships/hyperlink" Id="rId75" Target="https://doi.org/10.1038/nrmicro2832." TargetMode="External" /><Relationship Type="http://schemas.openxmlformats.org/officeDocument/2006/relationships/hyperlink" Id="rId39" Target="https://doi.org/10.1046/j.1462-2920.2003.00536.x." TargetMode="External" /><Relationship Type="http://schemas.openxmlformats.org/officeDocument/2006/relationships/hyperlink" Id="rId47" Target="https://doi.org/10.1073/pnas.1420406112." TargetMode="External" /><Relationship Type="http://schemas.openxmlformats.org/officeDocument/2006/relationships/hyperlink" Id="rId40" Target="https://doi.org/10.1073/pnas.44.7.671." TargetMode="External" /><Relationship Type="http://schemas.openxmlformats.org/officeDocument/2006/relationships/hyperlink" Id="rId41" Target="https://doi.org/10.1073/pnas.45.7.1039." TargetMode="External" /><Relationship Type="http://schemas.openxmlformats.org/officeDocument/2006/relationships/hyperlink" Id="rId46" Target="https://doi.org/10.1111/1462-2920.12140." TargetMode="External" /><Relationship Type="http://schemas.openxmlformats.org/officeDocument/2006/relationships/hyperlink" Id="rId38" Target="https://doi.org/10.1111/1462-2920.13954." TargetMode="External" /><Relationship Type="http://schemas.openxmlformats.org/officeDocument/2006/relationships/hyperlink" Id="rId73" Target="https://doi.org/10.1111/1758-2229.12027." TargetMode="External" /><Relationship Type="http://schemas.openxmlformats.org/officeDocument/2006/relationships/hyperlink" Id="rId43" Target="https://doi.org/10.1111/1758-2229.12201." TargetMode="External" /><Relationship Type="http://schemas.openxmlformats.org/officeDocument/2006/relationships/hyperlink" Id="rId57" Target="https://doi.org/10.1111/j.1462-2920.2007.01478.x." TargetMode="External" /><Relationship Type="http://schemas.openxmlformats.org/officeDocument/2006/relationships/hyperlink" Id="rId67" Target="https://doi.org/10.1111/j.1462-2920.2008.01683.x." TargetMode="External" /><Relationship Type="http://schemas.openxmlformats.org/officeDocument/2006/relationships/hyperlink" Id="rId53" Target="https://doi.org/10.1111/j.1574-6941.2001.tb00890.x." TargetMode="External" /><Relationship Type="http://schemas.openxmlformats.org/officeDocument/2006/relationships/hyperlink" Id="rId71" Target="https://doi.org/10.1111/j.1574-6941.2011.01083.x." TargetMode="External" /><Relationship Type="http://schemas.openxmlformats.org/officeDocument/2006/relationships/hyperlink" Id="rId70" Target="https://doi.org/10.1128/aem.00023-11." TargetMode="External" /><Relationship Type="http://schemas.openxmlformats.org/officeDocument/2006/relationships/hyperlink" Id="rId62" Target="https://doi.org/10.1128/aem.02609-06." TargetMode="External" /><Relationship Type="http://schemas.openxmlformats.org/officeDocument/2006/relationships/hyperlink" Id="rId60" Target="https://doi.org/10.1128/aem.02610-06." TargetMode="External" /><Relationship Type="http://schemas.openxmlformats.org/officeDocument/2006/relationships/hyperlink" Id="rId45" Target="https://doi.org/10.1128/aem.02735-10." TargetMode="External" /><Relationship Type="http://schemas.openxmlformats.org/officeDocument/2006/relationships/hyperlink" Id="rId54" Target="https://doi.org/10.1128/aem.69.11.6703-6714.2003." TargetMode="External" /><Relationship Type="http://schemas.openxmlformats.org/officeDocument/2006/relationships/hyperlink" Id="rId65" Target="https://doi.org/10.1128/aem.71.12.7858-7865.2005." TargetMode="External" /><Relationship Type="http://schemas.openxmlformats.org/officeDocument/2006/relationships/hyperlink" Id="rId76" Target="https://doi.org/10.1186/s40168-017-0237-y." TargetMode="External" /><Relationship Type="http://schemas.openxmlformats.org/officeDocument/2006/relationships/hyperlink" Id="rId74" Target="https://doi.org/10.1371/journal.pcbi.1003531." TargetMode="External" /><Relationship Type="http://schemas.openxmlformats.org/officeDocument/2006/relationships/hyperlink" Id="rId77" Target="https://doi.org/10.1371/journal.pone.0189616." TargetMode="External" /><Relationship Type="http://schemas.openxmlformats.org/officeDocument/2006/relationships/hyperlink" Id="rId59" Target="https://doi.org/10.1890/13-1031.1." TargetMode="External" /><Relationship Type="http://schemas.openxmlformats.org/officeDocument/2006/relationships/hyperlink" Id="rId80" Target="https://doi.org/10.3389/fmicb.2014.00219." TargetMode="External" /><Relationship Type="http://schemas.openxmlformats.org/officeDocument/2006/relationships/hyperlink" Id="rId66" Target="https://doi.org/10.3389/fmicb.2016.00703." TargetMode="External" /><Relationship Type="http://schemas.openxmlformats.org/officeDocument/2006/relationships/hyperlink" Id="rId79" Target="https://doi.org/10.3389/fmicb.2016.01285." TargetMode="External" /><Relationship Type="http://schemas.openxmlformats.org/officeDocument/2006/relationships/hyperlink" Id="rId68" Target="https://doi.org/10.3389/fmicb.2018.00570." TargetMode="External" /><Relationship Type="http://schemas.openxmlformats.org/officeDocument/2006/relationships/hyperlink" Id="rId36" Target="https://www.authorea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Set Up and Data Analysis Considerations for DNA- and RNA-SIP Experiments in the Omics Era</dc:title>
  <dc:creator>Roey Angel</dc:creator>
  <dcterms:created xsi:type="dcterms:W3CDTF">2020-07-28T12:12:18Z</dcterms:created>
  <dcterms:modified xsi:type="dcterms:W3CDTF">2020-07-28T12:12:18Z</dcterms:modified>
</cp:coreProperties>
</file>