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3.png" ContentType="image/png"/>
  <Override PartName="/word/media/rId24.png" ContentType="image/png"/>
  <Override PartName="/word/media/rId22.png" ContentType="image/png"/>
  <Override PartName="/word/media/rId25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Agate</w:t>
      </w:r>
      <w:r>
        <w:t xml:space="preserve"> </w:t>
      </w:r>
      <w:r>
        <w:t xml:space="preserve">Analysis</w:t>
      </w:r>
      <w:r>
        <w:t xml:space="preserve"> </w:t>
      </w:r>
      <w:r>
        <w:t xml:space="preserve">by</w:t>
      </w:r>
      <w:r>
        <w:t xml:space="preserve"> </w:t>
      </w:r>
      <w:r>
        <w:t xml:space="preserve">Raman,</w:t>
      </w:r>
      <w:r>
        <w:t xml:space="preserve"> </w:t>
      </w:r>
      <w:r>
        <w:t xml:space="preserve">XRF,</w:t>
      </w:r>
      <w:r>
        <w:t xml:space="preserve"> </w:t>
      </w:r>
      <w:r>
        <w:t xml:space="preserve">and</w:t>
      </w:r>
      <w:r>
        <w:t xml:space="preserve"> </w:t>
      </w:r>
      <w:r>
        <w:t xml:space="preserve">Hyperspectral</w:t>
      </w:r>
      <w:r>
        <w:t xml:space="preserve"> </w:t>
      </w:r>
      <w:r>
        <w:t xml:space="preserve">Imaging</w:t>
      </w:r>
      <w:r>
        <w:t xml:space="preserve"> </w:t>
      </w:r>
      <w:r>
        <w:t xml:space="preserve">Spectroscopy</w:t>
      </w:r>
      <w:r>
        <w:t xml:space="preserve"> </w:t>
      </w:r>
      <w:r>
        <w:t xml:space="preserve">for</w:t>
      </w:r>
      <w:r>
        <w:t xml:space="preserve"> </w:t>
      </w:r>
      <w:r>
        <w:t xml:space="preserve">Provenance</w:t>
      </w:r>
      <w:r>
        <w:t xml:space="preserve"> </w:t>
      </w:r>
      <w:r>
        <w:t xml:space="preserve">Determination</w:t>
      </w:r>
    </w:p>
    <w:p>
      <w:pPr>
        <w:pStyle w:val="Author"/>
      </w:pPr>
      <w:r>
        <w:t xml:space="preserve">Aaron</w:t>
      </w:r>
      <w:r>
        <w:t xml:space="preserve"> </w:t>
      </w:r>
      <w:r>
        <w:t xml:space="preserve">J.</w:t>
      </w:r>
      <w:r>
        <w:t xml:space="preserve"> </w:t>
      </w:r>
      <w:r>
        <w:t xml:space="preserve">Celestian</w:t>
      </w:r>
    </w:p>
    <w:p>
      <w:pPr>
        <w:pStyle w:val="Author"/>
      </w:pPr>
      <w:r>
        <w:t xml:space="preserve">Arlen</w:t>
      </w:r>
      <w:r>
        <w:t xml:space="preserve"> </w:t>
      </w:r>
      <w:r>
        <w:t xml:space="preserve">Heginbotham</w:t>
      </w:r>
    </w:p>
    <w:p>
      <w:pPr>
        <w:pStyle w:val="Author"/>
      </w:pPr>
      <w:r>
        <w:t xml:space="preserve">Rebecca</w:t>
      </w:r>
      <w:r>
        <w:t xml:space="preserve"> </w:t>
      </w:r>
      <w:r>
        <w:t xml:space="preserve">Greenberger</w:t>
      </w:r>
    </w:p>
    <w:p>
      <w:pPr>
        <w:pStyle w:val="Author"/>
      </w:pPr>
      <w:r>
        <w:t xml:space="preserve">Bethany</w:t>
      </w:r>
      <w:r>
        <w:t xml:space="preserve"> </w:t>
      </w:r>
      <w:r>
        <w:t xml:space="preserve">Ehlmann</w:t>
      </w:r>
    </w:p>
    <w:p>
      <w:pPr>
        <w:pStyle w:val="Author"/>
      </w:pPr>
      <w:r>
        <w:t xml:space="preserve">Bibek</w:t>
      </w:r>
      <w:r>
        <w:t xml:space="preserve"> </w:t>
      </w:r>
      <w:r>
        <w:t xml:space="preserve">Samanta</w:t>
      </w:r>
    </w:p>
    <w:p>
      <w:pPr>
        <w:pStyle w:val="Author"/>
      </w:pPr>
      <w:r>
        <w:t xml:space="preserve">Alyssa</w:t>
      </w:r>
      <w:r>
        <w:t xml:space="preserve"> </w:t>
      </w:r>
      <w:r>
        <w:t xml:space="preserve">Morgan</w:t>
      </w:r>
    </w:p>
    <w:p>
      <w:pPr>
        <w:pStyle w:val="Author"/>
      </w:pPr>
      <w:r>
        <w:t xml:space="preserve">Sergey</w:t>
      </w:r>
      <w:r>
        <w:t xml:space="preserve"> </w:t>
      </w:r>
      <w:r>
        <w:t xml:space="preserve">Mamedov</w:t>
      </w:r>
    </w:p>
    <w:p>
      <w:pPr>
        <w:pStyle w:val="Author"/>
      </w:pPr>
      <w:r>
        <w:t xml:space="preserve">Bridget</w:t>
      </w:r>
      <w:r>
        <w:t xml:space="preserve"> </w:t>
      </w:r>
      <w:r>
        <w:t xml:space="preserve">O’Donnell</w:t>
      </w:r>
    </w:p>
    <w:p>
      <w:pPr>
        <w:pStyle w:val="Heading1"/>
      </w:pPr>
      <w:bookmarkStart w:id="21" w:name="abstract"/>
      <w:bookmarkEnd w:id="21"/>
      <w:r>
        <w:t xml:space="preserve">Abstract</w:t>
      </w:r>
    </w:p>
    <w:p>
      <w:pPr>
        <w:pStyle w:val="FirstParagraph"/>
      </w:pPr>
      <w:r>
        <w:t xml:space="preserve">The Getty Museum recently acquired the Borghese-Windsor Cabinet</w:t>
      </w:r>
      <w:r>
        <w:t xml:space="preserve"> </w:t>
      </w:r>
      <w:r>
        <w:t xml:space="preserve">(Figure </w:t>
      </w:r>
      <w:r>
        <w:t xml:space="preserve">???</w:t>
      </w:r>
      <w:r>
        <w:t xml:space="preserve">), a piece of furniture</w:t>
      </w:r>
      <w:r>
        <w:t xml:space="preserve"> </w:t>
      </w:r>
      <w:r>
        <w:t xml:space="preserve">extensively decorated with agate, lapis lazuli, and other semi-precious</w:t>
      </w:r>
      <w:r>
        <w:t xml:space="preserve"> </w:t>
      </w:r>
      <w:r>
        <w:t xml:space="preserve">stones.  The cabinet is thought to have been built around 1620 for</w:t>
      </w:r>
      <w:r>
        <w:t xml:space="preserve"> </w:t>
      </w:r>
      <w:r>
        <w:t xml:space="preserve">Camillo Borghese (later Pope Paul V).  The Sixtus Cabinet, built around</w:t>
      </w:r>
      <w:r>
        <w:t xml:space="preserve"> </w:t>
      </w:r>
      <w:r>
        <w:t xml:space="preserve">1585 for Pope Sixtus V (born Felice Peretti di Montalto), is of similar</w:t>
      </w:r>
      <w:r>
        <w:t xml:space="preserve"> </w:t>
      </w:r>
      <w:r>
        <w:t xml:space="preserve">design to the Borghese-Windsor and also ornately decorated with</w:t>
      </w:r>
      <w:r>
        <w:t xml:space="preserve"> </w:t>
      </w:r>
      <w:r>
        <w:t xml:space="preserve">gemstones.  Although there are similarities in gemstones between the two</w:t>
      </w:r>
      <w:r>
        <w:t xml:space="preserve"> </w:t>
      </w:r>
      <w:r>
        <w:t xml:space="preserve">cabinets, the Sixtus and Borghese-Windsor cabinets vary in their agate</w:t>
      </w:r>
      <w:r>
        <w:t xml:space="preserve"> </w:t>
      </w:r>
      <w:r>
        <w:t xml:space="preserve">content.  It was traditionally thought that all agate gemstones acquired</w:t>
      </w:r>
      <w:r>
        <w:t xml:space="preserve"> </w:t>
      </w:r>
      <w:r>
        <w:t xml:space="preserve">during the 16th and 17th centuries were sourced from the Nahe River</w:t>
      </w:r>
      <w:r>
        <w:t xml:space="preserve"> </w:t>
      </w:r>
      <w:r>
        <w:t xml:space="preserve">Valley near Idar-Oberstein, Germany.  It is known that Brazilian agate</w:t>
      </w:r>
      <w:r>
        <w:t xml:space="preserve"> </w:t>
      </w:r>
      <w:r>
        <w:t xml:space="preserve">began to be imported into Germany by the 1800s, but it is possible that</w:t>
      </w:r>
      <w:r>
        <w:t xml:space="preserve"> </w:t>
      </w:r>
      <w:r>
        <w:t xml:space="preserve">some was imported in the 18th century or earlier.  A primary research</w:t>
      </w:r>
      <w:r>
        <w:t xml:space="preserve"> </w:t>
      </w:r>
      <w:r>
        <w:t xml:space="preserve">goal was to determine if the agates in the Borghese-Windsor Cabinet are</w:t>
      </w:r>
      <w:r>
        <w:t xml:space="preserve"> </w:t>
      </w:r>
      <w:r>
        <w:t xml:space="preserve">of single origin, or if they have more than one geologic provenance. </w:t>
      </w:r>
    </w:p>
    <w:p>
      <w:pPr>
        <w:pStyle w:val="BodyText"/>
      </w:pPr>
      <w:r>
        <w:br w:type="textWrapping"/>
      </w:r>
      <w:r>
        <w:t xml:space="preserve">Agates are made of SiO</w:t>
      </w:r>
      <w:r>
        <w:rPr>
          <w:vertAlign w:val="subscript"/>
        </w:rPr>
        <w:t xml:space="preserve">2</w:t>
      </w:r>
      <w:r>
        <w:t xml:space="preserve">, mostly as the mineral quartz,</w:t>
      </w:r>
      <w:r>
        <w:t xml:space="preserve"> </w:t>
      </w:r>
      <w:r>
        <w:t xml:space="preserve">but also as metastable moganite.  Both quartz and moganite will</w:t>
      </w:r>
      <w:r>
        <w:t xml:space="preserve"> </w:t>
      </w:r>
      <w:r>
        <w:t xml:space="preserve">crystallize together as the agate forms, but moganite is not stable at</w:t>
      </w:r>
      <w:r>
        <w:t xml:space="preserve"> </w:t>
      </w:r>
      <w:r>
        <w:t xml:space="preserve">Earth’s surface and will convert to quartz over tens of millions of</w:t>
      </w:r>
      <w:r>
        <w:t xml:space="preserve"> </w:t>
      </w:r>
      <w:r>
        <w:t xml:space="preserve">years (Moxon and R</w:t>
      </w:r>
      <w:r>
        <w:t xml:space="preserve">í</w:t>
      </w:r>
      <w:r>
        <w:t xml:space="preserve">os 2004; Heaney 1995; G</w:t>
      </w:r>
      <w:r>
        <w:t xml:space="preserve">í</w:t>
      </w:r>
      <w:r>
        <w:t xml:space="preserve">slason et al. 1997), thus relatively older agate contains less</w:t>
      </w:r>
      <w:r>
        <w:t xml:space="preserve"> </w:t>
      </w:r>
      <w:r>
        <w:t xml:space="preserve">moganite.  Agate from the Idar-Oberstein is Permian in age (around 280</w:t>
      </w:r>
      <w:r>
        <w:t xml:space="preserve"> </w:t>
      </w:r>
      <w:r>
        <w:t xml:space="preserve">million years old), while agate from Rio Grande do Sul of Brazil</w:t>
      </w:r>
      <w:r>
        <w:t xml:space="preserve"> </w:t>
      </w:r>
      <w:r>
        <w:t xml:space="preserve">generally formed during the Cretaceous (around 120 million years old).</w:t>
      </w:r>
      <w:r>
        <w:t xml:space="preserve"> </w:t>
      </w:r>
      <w:r>
        <w:t xml:space="preserve"> It is thought that Rio Grande do Sul would have been a primary source</w:t>
      </w:r>
      <w:r>
        <w:t xml:space="preserve"> </w:t>
      </w:r>
      <w:r>
        <w:t xml:space="preserve">of material exported to Europe because it is one of Brazil’s oldest and</w:t>
      </w:r>
      <w:r>
        <w:t xml:space="preserve"> </w:t>
      </w:r>
      <w:r>
        <w:t xml:space="preserve">largest agate gemstone producers.  Since Cretaceous agate from Brazil is</w:t>
      </w:r>
      <w:r>
        <w:t xml:space="preserve"> </w:t>
      </w:r>
      <w:r>
        <w:t xml:space="preserve">many millions of years younger than Permian agate from Germany, the</w:t>
      </w:r>
      <w:r>
        <w:t xml:space="preserve"> </w:t>
      </w:r>
      <w:r>
        <w:t xml:space="preserve">quartz to moganite ratios between the two localities should be quite</w:t>
      </w:r>
      <w:r>
        <w:t xml:space="preserve"> </w:t>
      </w:r>
      <w:r>
        <w:t xml:space="preserve">different.  </w:t>
      </w:r>
    </w:p>
    <w:p>
      <w:pPr>
        <w:pStyle w:val="BodyText"/>
      </w:pPr>
      <w:r>
        <w:br w:type="textWrapping"/>
      </w:r>
      <w:r>
        <w:t xml:space="preserve">The agate gemstones of the Borghese-Windsor Cabinet cannot be removed</w:t>
      </w:r>
      <w:r>
        <w:t xml:space="preserve"> </w:t>
      </w:r>
      <w:r>
        <w:t xml:space="preserve">for detailed Raman mapping experiments.    Because of this, we first</w:t>
      </w:r>
      <w:r>
        <w:t xml:space="preserve"> </w:t>
      </w:r>
      <w:r>
        <w:t xml:space="preserve">analyzed multiple agate specimens from the collections of the Natural</w:t>
      </w:r>
      <w:r>
        <w:t xml:space="preserve"> </w:t>
      </w:r>
      <w:r>
        <w:t xml:space="preserve">History Museum of Los Angeles (NHMLA) and the Smithsonian Institution</w:t>
      </w:r>
      <w:r>
        <w:t xml:space="preserve"> </w:t>
      </w:r>
      <w:r>
        <w:t xml:space="preserve">National Museum of Natural History (NMNH) using three different</w:t>
      </w:r>
      <w:r>
        <w:t xml:space="preserve"> </w:t>
      </w:r>
      <w:r>
        <w:t xml:space="preserve">techniques: Raman mapping, XRF mapping, and hyperspectral imaging. Raman</w:t>
      </w:r>
      <w:r>
        <w:t xml:space="preserve"> </w:t>
      </w:r>
      <w:r>
        <w:t xml:space="preserve">spectroscopy provides an easy method to distinguish the relative</w:t>
      </w:r>
      <w:r>
        <w:t xml:space="preserve"> </w:t>
      </w:r>
      <w:r>
        <w:t xml:space="preserve">quartz:moganite ratios and XRF analysis provides a measure of bulk</w:t>
      </w:r>
      <w:r>
        <w:t xml:space="preserve"> </w:t>
      </w:r>
      <w:r>
        <w:t xml:space="preserve">geochemistry in agates.  Maps have advantages over line scans and point</w:t>
      </w:r>
      <w:r>
        <w:t xml:space="preserve"> </w:t>
      </w:r>
      <w:r>
        <w:t xml:space="preserve">analysis in that they give a better representation of the mineral</w:t>
      </w:r>
      <w:r>
        <w:t xml:space="preserve"> </w:t>
      </w:r>
      <w:r>
        <w:t xml:space="preserve">content, can be used to exclude trace mineral impurities, and yield</w:t>
      </w:r>
      <w:r>
        <w:t xml:space="preserve"> </w:t>
      </w:r>
      <w:r>
        <w:t xml:space="preserve">better counting statistics and averaging.   Hyperspectral imaging</w:t>
      </w:r>
      <w:r>
        <w:t xml:space="preserve"> </w:t>
      </w:r>
      <w:r>
        <w:t xml:space="preserve">provides a range of optical data from IR through UV wavelengths.   </w:t>
      </w:r>
    </w:p>
    <w:p>
      <w:pPr>
        <w:pStyle w:val="BodyText"/>
      </w:pPr>
      <w:r>
        <w:t xml:space="preserve">We performed Raman mapping (Horiba ExploRa+ 532 nm and 785 nm lasers)</w:t>
      </w:r>
      <w:r>
        <w:t xml:space="preserve"> </w:t>
      </w:r>
      <w:r>
        <w:t xml:space="preserve">and XRF mapping (Horiba XGT-7200) at NHMLA on agates of known provenance</w:t>
      </w:r>
      <w:r>
        <w:t xml:space="preserve"> </w:t>
      </w:r>
      <w:r>
        <w:t xml:space="preserve">that could later be compared to gemstones in the Borghese-Windsor</w:t>
      </w:r>
      <w:r>
        <w:t xml:space="preserve"> </w:t>
      </w:r>
      <w:r>
        <w:t xml:space="preserve">Cabinet.  When examining the cryptocrystalline parts of agate from</w:t>
      </w:r>
      <w:r>
        <w:t xml:space="preserve"> </w:t>
      </w:r>
      <w:r>
        <w:t xml:space="preserve">comparative collections, Brazilian agates (e.g.</w:t>
      </w:r>
      <w:r>
        <w:t xml:space="preserve"> </w:t>
      </w:r>
      <w:r>
        <w:t xml:space="preserve">Figure </w:t>
      </w:r>
      <w:r>
        <w:t xml:space="preserve">???</w:t>
      </w:r>
      <w:r>
        <w:t xml:space="preserve"> </w:t>
      </w:r>
      <w:r>
        <w:t xml:space="preserve">from NHMLA collection) had 8% or</w:t>
      </w:r>
      <w:r>
        <w:t xml:space="preserve"> </w:t>
      </w:r>
      <w:r>
        <w:t xml:space="preserve">higher moganite concentration, whereas the Idar-Oberstein agate (on loan</w:t>
      </w:r>
      <w:r>
        <w:t xml:space="preserve"> </w:t>
      </w:r>
      <w:r>
        <w:t xml:space="preserve">from NMNH) had less than 2% moganite.  No intermediate moganite</w:t>
      </w:r>
      <w:r>
        <w:t xml:space="preserve"> </w:t>
      </w:r>
      <w:r>
        <w:t xml:space="preserve">percentages were observed for the specimens that were examined. </w:t>
      </w:r>
      <w:r>
        <w:t xml:space="preserve"> </w:t>
      </w:r>
      <w:r>
        <w:t xml:space="preserve">Well-crystallized areas and microcrystalline areas within the same agate</w:t>
      </w:r>
      <w:r>
        <w:t xml:space="preserve"> </w:t>
      </w:r>
      <w:r>
        <w:t xml:space="preserve">had little to no moganite.  The moganite distribution in the agate is</w:t>
      </w:r>
      <w:r>
        <w:t xml:space="preserve"> </w:t>
      </w:r>
      <w:r>
        <w:t xml:space="preserve">heterogeneous (e.g. Figure </w:t>
      </w:r>
      <w:r>
        <w:t xml:space="preserve">???</w:t>
      </w:r>
      <w:r>
        <w:t xml:space="preserve">), likely due</w:t>
      </w:r>
      <w:r>
        <w:t xml:space="preserve"> </w:t>
      </w:r>
      <w:r>
        <w:t xml:space="preserve">to different growth stages and changing geological conditions during</w:t>
      </w:r>
      <w:r>
        <w:t xml:space="preserve"> </w:t>
      </w:r>
      <w:r>
        <w:t xml:space="preserve">agate formation. Using the Raman maps, we were able to isolate the areas</w:t>
      </w:r>
      <w:r>
        <w:t xml:space="preserve"> </w:t>
      </w:r>
      <w:r>
        <w:t xml:space="preserve">that contained moganite + quartz, and measure the ratios in those</w:t>
      </w:r>
      <w:r>
        <w:t xml:space="preserve"> </w:t>
      </w:r>
      <w:r>
        <w:t xml:space="preserve">specific bands (e.g. Figure </w:t>
      </w:r>
      <w:r>
        <w:t xml:space="preserve">???</w:t>
      </w:r>
      <w:r>
        <w:t xml:space="preserve">).  This</w:t>
      </w:r>
      <w:r>
        <w:t xml:space="preserve"> </w:t>
      </w:r>
      <w:r>
        <w:t xml:space="preserve">narrow-band approach to quartz:moganite determination was compared to</w:t>
      </w:r>
      <w:r>
        <w:t xml:space="preserve"> </w:t>
      </w:r>
      <w:r>
        <w:t xml:space="preserve">broad-brand and whole-sample approaches,  and the narrow-band approach</w:t>
      </w:r>
      <w:r>
        <w:t xml:space="preserve"> </w:t>
      </w:r>
      <w:r>
        <w:t xml:space="preserve">was shown to be more reproducible in distinguishing Brazilian from</w:t>
      </w:r>
      <w:r>
        <w:t xml:space="preserve"> </w:t>
      </w:r>
      <w:r>
        <w:t xml:space="preserve">German agates.   Because moganite is isolated to select layers/bands</w:t>
      </w:r>
      <w:r>
        <w:t xml:space="preserve"> </w:t>
      </w:r>
      <w:r>
        <w:t xml:space="preserve">within agate, care must be taken when evaluating quartz:moganite ratios</w:t>
      </w:r>
      <w:r>
        <w:t xml:space="preserve"> </w:t>
      </w:r>
      <w:r>
        <w:t xml:space="preserve">for provenance or age analysis.  </w:t>
      </w:r>
    </w:p>
    <w:p>
      <w:pPr>
        <w:pStyle w:val="BodyText"/>
      </w:pPr>
      <w:r>
        <w:br w:type="textWrapping"/>
      </w:r>
      <w:r>
        <w:t xml:space="preserve">These same agates from the Brazilian and German localities were then</w:t>
      </w:r>
      <w:r>
        <w:t xml:space="preserve"> </w:t>
      </w:r>
      <w:r>
        <w:t xml:space="preserve">taken to CalTech to collect hyperspectral imaging data.  Imaging data</w:t>
      </w:r>
      <w:r>
        <w:t xml:space="preserve"> </w:t>
      </w:r>
      <w:r>
        <w:t xml:space="preserve">were compared to the NHMLA laboratory Raman and XRF analyses, and</w:t>
      </w:r>
      <w:r>
        <w:t xml:space="preserve"> </w:t>
      </w:r>
      <w:r>
        <w:t xml:space="preserve">correlation analysis of combined datasets from the three different</w:t>
      </w:r>
      <w:r>
        <w:t xml:space="preserve"> </w:t>
      </w:r>
      <w:r>
        <w:t xml:space="preserve">experimental procedures allowed us to establish a unique</w:t>
      </w:r>
      <w:r>
        <w:t xml:space="preserve"> </w:t>
      </w:r>
      <w:r>
        <w:t xml:space="preserve">characterization pattern for the different localities.   At the Getty</w:t>
      </w:r>
      <w:r>
        <w:t xml:space="preserve"> </w:t>
      </w:r>
      <w:r>
        <w:t xml:space="preserve">Museum, we performed hyperspectral imaging of the entire cabinet</w:t>
      </w:r>
      <w:r>
        <w:t xml:space="preserve"> </w:t>
      </w:r>
      <w:r>
        <w:t xml:space="preserve">(Figure </w:t>
      </w:r>
      <w:r>
        <w:t xml:space="preserve">???</w:t>
      </w:r>
      <w:r>
        <w:t xml:space="preserve">), and analyzed select drawers</w:t>
      </w:r>
      <w:r>
        <w:t xml:space="preserve"> </w:t>
      </w:r>
      <w:r>
        <w:t xml:space="preserve">from the cabinet via large volume XRF.  These analyses will then be</w:t>
      </w:r>
      <w:r>
        <w:t xml:space="preserve"> </w:t>
      </w:r>
      <w:r>
        <w:t xml:space="preserve">compared to the data collected from known localities to attempt to</w:t>
      </w:r>
      <w:r>
        <w:t xml:space="preserve"> </w:t>
      </w:r>
      <w:r>
        <w:t xml:space="preserve">determine provenance of the Borghese-Windsor agates.  The procedure can</w:t>
      </w:r>
      <w:r>
        <w:t xml:space="preserve"> </w:t>
      </w:r>
      <w:r>
        <w:t xml:space="preserve">be used to establish datasets for the other locations in the future.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4177492" cy="3134648"/>
            <wp:effectExtent b="0" l="0" r="0" t="0"/>
            <wp:docPr descr="Getty Borghese-Windsor Cabinet on display at the Getty Center, and being imaged by the hyperspectral analyzer (center, on tripod).  From left to right: A. Celestian, R. Greenberger, B. Elm. " title="" id="1" name="Picture"/>
            <a:graphic>
              <a:graphicData uri="http://schemas.openxmlformats.org/drawingml/2006/picture">
                <pic:pic>
                  <pic:nvPicPr>
                    <pic:cNvPr descr="figures/Getty-borghese-windsor-cabinet/2016.66-9-25-17-HSI-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3134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Getty Borghese-Windsor Cabinet on display at the Getty Center, and being</w:t>
      </w:r>
      <w:r>
        <w:t xml:space="preserve"> </w:t>
      </w:r>
      <w:r>
        <w:t xml:space="preserve">imaged by the hyperspectral analyzer (center, on tripod).  From left to</w:t>
      </w:r>
      <w:r>
        <w:t xml:space="preserve"> </w:t>
      </w:r>
      <w:r>
        <w:t xml:space="preserve">right: A. Celestian, R. Greenberger, B. Elm.</w:t>
      </w:r>
      <w:r>
        <w:t xml:space="preserve"> </w:t>
      </w:r>
    </w:p>
    <w:p>
      <w:pPr>
        <w:pStyle w:val="FigureWithCaption"/>
      </w:pPr>
      <w:r>
        <w:drawing>
          <wp:inline>
            <wp:extent cx="4177492" cy="5568971"/>
            <wp:effectExtent b="0" l="0" r="0" t="0"/>
            <wp:docPr descr="Brazilian agate from Rio Grande Do Sul from the NHMLA collection.  Transect A-A’ is where Raman map was collected. " title="" id="1" name="Picture"/>
            <a:graphic>
              <a:graphicData uri="http://schemas.openxmlformats.org/drawingml/2006/picture">
                <pic:pic>
                  <pic:nvPicPr>
                    <pic:cNvPr descr="figures/14949-NHMLA-Brazil-markedup/14949-NHMLA-Brazil-markedup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55689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Brazilian agate from Rio Grande Do Sul from the NHMLA collection.</w:t>
      </w:r>
      <w:r>
        <w:t xml:space="preserve"> </w:t>
      </w:r>
      <w:r>
        <w:t xml:space="preserve"> Transect A-A’ is where Raman map was collected.</w:t>
      </w:r>
      <w:r>
        <w:t xml:space="preserve"> </w:t>
      </w:r>
    </w:p>
    <w:p>
      <w:pPr>
        <w:pStyle w:val="FigureWithCaption"/>
      </w:pPr>
      <w:r>
        <w:drawing>
          <wp:inline>
            <wp:extent cx="168000" cy="15600"/>
            <wp:effectExtent b="0" l="0" r="0" t="0"/>
            <wp:docPr descr="Raman map showing high quartz as bright areas, and quartz+moganite as dark areas along the A-A’ transect show in Figure ???.  The brighter bands contain no less than 8% moganite while the dark bands contain only quartz.  This narrow-band analysis yield better provenance results than from whole-rock, or broad-band analysis.  " title="" id="1" name="Picture"/>
            <a:graphic>
              <a:graphicData uri="http://schemas.openxmlformats.org/drawingml/2006/picture">
                <pic:pic>
                  <pic:nvPicPr>
                    <pic:cNvPr descr="figures/14949-q-m/14949-q-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0" cy="1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Raman map showing high quartz as bright areas, and quartz+moganite as</w:t>
      </w:r>
      <w:r>
        <w:t xml:space="preserve"> </w:t>
      </w:r>
      <w:r>
        <w:t xml:space="preserve">dark areas along the A-A’ transect show in</w:t>
      </w:r>
      <w:r>
        <w:t xml:space="preserve"> </w:t>
      </w:r>
      <w:r>
        <w:t xml:space="preserve">Figure </w:t>
      </w:r>
      <w:r>
        <w:t xml:space="preserve">???</w:t>
      </w:r>
      <w:r>
        <w:t xml:space="preserve">.  The brighter bands contain no</w:t>
      </w:r>
      <w:r>
        <w:t xml:space="preserve"> </w:t>
      </w:r>
      <w:r>
        <w:t xml:space="preserve">less than 8% moganite while the dark bands contain only quartz.  This</w:t>
      </w:r>
      <w:r>
        <w:t xml:space="preserve"> </w:t>
      </w:r>
      <w:r>
        <w:t xml:space="preserve">narrow-band analysis yield better provenance results than from</w:t>
      </w:r>
      <w:r>
        <w:t xml:space="preserve"> </w:t>
      </w:r>
      <w:r>
        <w:t xml:space="preserve">whole-rock, or broad-band analysis. </w:t>
      </w:r>
      <w:r>
        <w:t xml:space="preserve"> </w:t>
      </w:r>
    </w:p>
    <w:p>
      <w:pPr>
        <w:pStyle w:val="FigureWithCaption"/>
      </w:pPr>
      <w:r>
        <w:drawing>
          <wp:inline>
            <wp:extent cx="5334000" cy="4002452"/>
            <wp:effectExtent b="0" l="0" r="0" t="0"/>
            <wp:docPr descr="Example data comparing four different agate Raman analyses in the diagnostic region between 400 cm-1 to 550 cm-1 region showing the strongest peaks for quartz at 463 cm-1 and moganite at 501 cm-1.  These data were taken from narrow-band analysis (summing all spectra in the narrow agate bands that contained quartz + moganite).  Each band was used as a separate analysis.  Shown are the analyses of two different agates from Brazil (blues), and two different agates from from Germany (reds). Note the strong moganite presence in the Brazilian agates. " title="" id="1" name="Picture"/>
            <a:graphic>
              <a:graphicData uri="http://schemas.openxmlformats.org/drawingml/2006/picture">
                <pic:pic>
                  <pic:nvPicPr>
                    <pic:cNvPr descr="figures/example-agate-moganite-spec/example-agate-moganite-spec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24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Example data comparing four different agate Raman analyses in the</w:t>
      </w:r>
      <w:r>
        <w:t xml:space="preserve"> </w:t>
      </w:r>
      <w:r>
        <w:t xml:space="preserve">diagnostic region between 400 cm</w:t>
      </w:r>
      <w:r>
        <w:rPr>
          <w:vertAlign w:val="superscript"/>
        </w:rPr>
        <w:t xml:space="preserve">-1</w:t>
      </w:r>
      <w:r>
        <w:t xml:space="preserve"> </w:t>
      </w:r>
      <w:r>
        <w:t xml:space="preserve">to 550</w:t>
      </w:r>
      <w:r>
        <w:t xml:space="preserve"> </w:t>
      </w:r>
      <w:r>
        <w:t xml:space="preserve">cm</w:t>
      </w:r>
      <w:r>
        <w:rPr>
          <w:vertAlign w:val="superscript"/>
        </w:rPr>
        <w:t xml:space="preserve">-1</w:t>
      </w:r>
      <w:r>
        <w:t xml:space="preserve"> </w:t>
      </w:r>
      <w:r>
        <w:t xml:space="preserve">region showing the strongest peaks for quartz at</w:t>
      </w:r>
      <w:r>
        <w:t xml:space="preserve"> </w:t>
      </w:r>
      <w:r>
        <w:t xml:space="preserve">463 cm</w:t>
      </w:r>
      <w:r>
        <w:rPr>
          <w:vertAlign w:val="superscript"/>
        </w:rPr>
        <w:t xml:space="preserve">-1</w:t>
      </w:r>
      <w:r>
        <w:t xml:space="preserve"> </w:t>
      </w:r>
      <w:r>
        <w:t xml:space="preserve">and moganite at 501 cm</w:t>
      </w:r>
      <w:r>
        <w:rPr>
          <w:vertAlign w:val="superscript"/>
        </w:rPr>
        <w:t xml:space="preserve">-1</w:t>
      </w:r>
      <w:r>
        <w:t xml:space="preserve">. </w:t>
      </w:r>
      <w:r>
        <w:t xml:space="preserve"> </w:t>
      </w:r>
      <w:r>
        <w:t xml:space="preserve">These data were taken from narrow-band analysis (summing all spectra in</w:t>
      </w:r>
      <w:r>
        <w:t xml:space="preserve"> </w:t>
      </w:r>
      <w:r>
        <w:t xml:space="preserve">the narrow agate bands that contained quartz + moganite).  Each band was</w:t>
      </w:r>
      <w:r>
        <w:t xml:space="preserve"> </w:t>
      </w:r>
      <w:r>
        <w:t xml:space="preserve">used as a separate analysis.  Shown are the analyses of two different</w:t>
      </w:r>
      <w:r>
        <w:t xml:space="preserve"> </w:t>
      </w:r>
      <w:r>
        <w:t xml:space="preserve">agates from Brazil (blues), and two different agates from from Germany</w:t>
      </w:r>
      <w:r>
        <w:t xml:space="preserve"> </w:t>
      </w:r>
      <w:r>
        <w:t xml:space="preserve">(reds). Note the strong moganite presence in the Brazilian agates.</w:t>
      </w:r>
      <w:r>
        <w:t xml:space="preserve"> </w:t>
      </w:r>
    </w:p>
    <w:p>
      <w:pPr>
        <w:pStyle w:val="Heading1"/>
      </w:pPr>
      <w:bookmarkStart w:id="26" w:name="references"/>
      <w:bookmarkEnd w:id="26"/>
      <w:r>
        <w:t xml:space="preserve">References</w:t>
      </w:r>
    </w:p>
    <w:p>
      <w:pPr>
        <w:pStyle w:val="FirstParagraph"/>
      </w:pPr>
      <w:r>
        <w:t xml:space="preserve">Moxon, Terry, and Susana R</w:t>
      </w:r>
      <w:r>
        <w:t xml:space="preserve">í</w:t>
      </w:r>
      <w:r>
        <w:t xml:space="preserve">os. 2004.</w:t>
      </w:r>
      <w:r>
        <w:t xml:space="preserve"> </w:t>
      </w:r>
      <w:r>
        <w:t xml:space="preserve">“</w:t>
      </w:r>
      <w:r>
        <w:t xml:space="preserve">Moganite and Water Content as a Function of Age in Agate: an</w:t>
      </w:r>
      <w:r>
        <w:t xml:space="preserve"> </w:t>
      </w:r>
      <w:r>
        <w:t xml:space="preserve">XRD</w:t>
      </w:r>
      <w:r>
        <w:t xml:space="preserve"> </w:t>
      </w:r>
      <w:r>
        <w:t xml:space="preserve">and Thermogravimetric Study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European Journal of Mineralogy</w:t>
      </w:r>
      <w:r>
        <w:t xml:space="preserve"> </w:t>
      </w:r>
      <w:r>
        <w:t xml:space="preserve">16 (2): 269–78.</w:t>
      </w:r>
      <w:r>
        <w:t xml:space="preserve"> </w:t>
      </w:r>
      <w:hyperlink r:id="rId27">
        <w:r>
          <w:rPr>
            <w:rStyle w:val="Hyperlink"/>
          </w:rPr>
          <w:t xml:space="preserve">https://doi.org/10.1127/0935-1221/2004/0016-0269.</w:t>
        </w:r>
      </w:hyperlink>
    </w:p>
    <w:p>
      <w:pPr>
        <w:pStyle w:val="BodyText"/>
      </w:pPr>
      <w:r>
        <w:t xml:space="preserve">Heaney, Peter J. 1995.</w:t>
      </w:r>
      <w:r>
        <w:t xml:space="preserve"> </w:t>
      </w:r>
      <w:r>
        <w:t xml:space="preserve">“</w:t>
      </w:r>
      <w:r>
        <w:t xml:space="preserve">Moganite as an Indicator for Vanished Evaporites: A Testament Reborn?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SEPM</w:t>
      </w:r>
      <w:r>
        <w:rPr>
          <w:i/>
        </w:rPr>
        <w:t xml:space="preserve"> </w:t>
      </w:r>
      <w:r>
        <w:rPr>
          <w:i/>
        </w:rPr>
        <w:t xml:space="preserve">Journal of Sedimentary Research</w:t>
      </w:r>
      <w:r>
        <w:t xml:space="preserve"> </w:t>
      </w:r>
      <w:r>
        <w:t xml:space="preserve">Vol. 65A.</w:t>
      </w:r>
      <w:r>
        <w:t xml:space="preserve"> </w:t>
      </w:r>
      <w:hyperlink r:id="rId28">
        <w:r>
          <w:rPr>
            <w:rStyle w:val="Hyperlink"/>
          </w:rPr>
          <w:t xml:space="preserve">https://doi.org/10.1306/d4268180-2b26-11d7-8648000102c1865d.</w:t>
        </w:r>
      </w:hyperlink>
    </w:p>
    <w:p>
      <w:pPr>
        <w:pStyle w:val="BodyText"/>
      </w:pPr>
      <w:r>
        <w:t xml:space="preserve">G</w:t>
      </w:r>
      <w:r>
        <w:t xml:space="preserve">í</w:t>
      </w:r>
      <w:r>
        <w:t xml:space="preserve">slason, Sigurdur R., Peter J. Heaney, Eric H. Oelkers, and Jacques Schott. 1997.</w:t>
      </w:r>
      <w:r>
        <w:t xml:space="preserve"> </w:t>
      </w:r>
      <w:r>
        <w:t xml:space="preserve">“</w:t>
      </w:r>
      <w:r>
        <w:t xml:space="preserve">Kinetic and Thermodynamic Properties of Moganite a Novel Silica Polymorph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Geochimica Et Cosmochimica Acta</w:t>
      </w:r>
      <w:r>
        <w:t xml:space="preserve"> </w:t>
      </w:r>
      <w:r>
        <w:t xml:space="preserve">61 (6): 1193–1204.</w:t>
      </w:r>
      <w:r>
        <w:t xml:space="preserve"> </w:t>
      </w:r>
      <w:hyperlink r:id="rId29">
        <w:r>
          <w:rPr>
            <w:rStyle w:val="Hyperlink"/>
          </w:rPr>
          <w:t xml:space="preserve">https://doi.org/10.1016/s0016-7037(96)00409-7.</w:t>
        </w:r>
      </w:hyperlink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fe24026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hyperlink" Id="rId29" Target="https://doi.org/10.1016/s0016-7037(96)00409-7." TargetMode="External" /><Relationship Type="http://schemas.openxmlformats.org/officeDocument/2006/relationships/hyperlink" Id="rId27" Target="https://doi.org/10.1127/0935-1221/2004/0016-0269." TargetMode="External" /><Relationship Type="http://schemas.openxmlformats.org/officeDocument/2006/relationships/hyperlink" Id="rId28" Target="https://doi.org/10.1306/d4268180-2b26-11d7-8648000102c1865d.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9" Target="https://doi.org/10.1016/s0016-7037(96)00409-7." TargetMode="External" /><Relationship Type="http://schemas.openxmlformats.org/officeDocument/2006/relationships/hyperlink" Id="rId27" Target="https://doi.org/10.1127/0935-1221/2004/0016-0269." TargetMode="External" /><Relationship Type="http://schemas.openxmlformats.org/officeDocument/2006/relationships/hyperlink" Id="rId28" Target="https://doi.org/10.1306/d4268180-2b26-11d7-8648000102c1865d.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Agate Analysis by Raman, XRF, and Hyperspectral Imaging Spectroscopy for Provenance Determination</dc:title>
  <dc:creator>Aaron J. Celestian; Arlen Heginbotham; Rebecca Greenberger; Bethany Ehlmann; Bibek Samanta; Alyssa Morgan; Sergey Mamedov; Bridget O’Donnell</dc:creator>
  <dcterms:created xsi:type="dcterms:W3CDTF">2020-06-04T14:01:43Z</dcterms:created>
  <dcterms:modified xsi:type="dcterms:W3CDTF">2020-06-04T14:01:43Z</dcterms:modified>
</cp:coreProperties>
</file>