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568E10">
      <w:pPr>
        <w:spacing w:line="480" w:lineRule="auto"/>
        <w:rPr>
          <w:rFonts w:ascii="Arial" w:hAnsi="Arial" w:cs="Arial"/>
          <w:b/>
          <w:bCs/>
          <w:lang w:val="en-US"/>
        </w:rPr>
      </w:pPr>
      <w:r>
        <w:rPr>
          <w:rFonts w:ascii="Arial" w:hAnsi="Arial" w:cs="Arial"/>
          <w:b/>
          <w:bCs/>
          <w:lang w:val="en-US"/>
        </w:rPr>
        <w:t>Testing the Dry Refuge Model: paleoecological insights from Late Pleistocene gomphotheres in Ecuador</w:t>
      </w:r>
    </w:p>
    <w:p w14:paraId="310647A9">
      <w:pPr>
        <w:spacing w:line="480" w:lineRule="auto"/>
        <w:rPr>
          <w:rFonts w:ascii="Arial" w:hAnsi="Arial" w:cs="Arial"/>
          <w:b/>
          <w:bCs/>
          <w:lang w:val="en-US"/>
        </w:rPr>
      </w:pPr>
    </w:p>
    <w:p w14:paraId="6592D7A8">
      <w:pPr>
        <w:spacing w:line="480" w:lineRule="auto"/>
        <w:rPr>
          <w:rFonts w:ascii="Arial" w:hAnsi="Arial" w:cs="Arial"/>
          <w:sz w:val="20"/>
          <w:szCs w:val="20"/>
        </w:rPr>
      </w:pPr>
      <w:r>
        <w:rPr>
          <w:rFonts w:ascii="Arial" w:hAnsi="Arial" w:cs="Arial"/>
          <w:sz w:val="20"/>
          <w:szCs w:val="20"/>
        </w:rPr>
        <w:t>Erwin González-Guarda</w:t>
      </w:r>
      <w:r>
        <w:rPr>
          <w:rFonts w:ascii="Arial" w:hAnsi="Arial" w:cs="Arial"/>
          <w:sz w:val="20"/>
          <w:szCs w:val="20"/>
          <w:vertAlign w:val="superscript"/>
        </w:rPr>
        <w:t>1,2</w:t>
      </w:r>
      <w:r>
        <w:rPr>
          <w:rFonts w:ascii="Arial" w:hAnsi="Arial" w:cs="Arial"/>
          <w:sz w:val="20"/>
          <w:szCs w:val="20"/>
        </w:rPr>
        <w:t>, Iván Ramírez-Pedraza</w:t>
      </w:r>
      <w:r>
        <w:rPr>
          <w:rFonts w:ascii="Arial" w:hAnsi="Arial" w:cs="Arial"/>
          <w:sz w:val="20"/>
          <w:szCs w:val="20"/>
          <w:vertAlign w:val="superscript"/>
        </w:rPr>
        <w:t>2</w:t>
      </w:r>
      <w:r>
        <w:rPr>
          <w:rFonts w:ascii="Arial" w:hAnsi="Arial" w:cs="Arial"/>
          <w:sz w:val="20"/>
          <w:szCs w:val="20"/>
        </w:rPr>
        <w:t>, Carlos Tornero*</w:t>
      </w:r>
      <w:r>
        <w:rPr>
          <w:rFonts w:ascii="Arial" w:hAnsi="Arial" w:cs="Arial"/>
          <w:sz w:val="20"/>
          <w:szCs w:val="20"/>
          <w:vertAlign w:val="superscript"/>
        </w:rPr>
        <w:t>2,3</w:t>
      </w:r>
      <w:r>
        <w:rPr>
          <w:rFonts w:ascii="Arial" w:hAnsi="Arial" w:cs="Arial"/>
          <w:sz w:val="20"/>
          <w:szCs w:val="20"/>
        </w:rPr>
        <w:t>, Lidiane Asevedo</w:t>
      </w:r>
      <w:r>
        <w:rPr>
          <w:rFonts w:ascii="Arial" w:hAnsi="Arial" w:cs="Arial"/>
          <w:sz w:val="20"/>
          <w:szCs w:val="20"/>
          <w:vertAlign w:val="superscript"/>
        </w:rPr>
        <w:t>4</w:t>
      </w:r>
      <w:r>
        <w:rPr>
          <w:rFonts w:ascii="Arial" w:hAnsi="Arial" w:cs="Arial"/>
          <w:sz w:val="20"/>
          <w:szCs w:val="20"/>
        </w:rPr>
        <w:t>, Natalia Villavicencio</w:t>
      </w:r>
      <w:r>
        <w:rPr>
          <w:rFonts w:ascii="Arial" w:hAnsi="Arial" w:cs="Arial"/>
          <w:sz w:val="20"/>
          <w:szCs w:val="20"/>
          <w:vertAlign w:val="superscript"/>
        </w:rPr>
        <w:t>1</w:t>
      </w:r>
      <w:r>
        <w:rPr>
          <w:rFonts w:ascii="Arial" w:hAnsi="Arial" w:cs="Arial"/>
          <w:sz w:val="20"/>
          <w:szCs w:val="20"/>
        </w:rPr>
        <w:t>, Sebastián Escobar</w:t>
      </w:r>
      <w:r>
        <w:rPr>
          <w:rFonts w:ascii="Arial" w:hAnsi="Arial" w:cs="Arial"/>
          <w:sz w:val="20"/>
          <w:szCs w:val="20"/>
          <w:vertAlign w:val="superscript"/>
        </w:rPr>
        <w:t>5</w:t>
      </w:r>
      <w:r>
        <w:rPr>
          <w:rFonts w:ascii="Arial" w:hAnsi="Arial" w:cs="Arial"/>
          <w:sz w:val="20"/>
          <w:szCs w:val="20"/>
        </w:rPr>
        <w:t>, José Luis Román</w:t>
      </w:r>
      <w:r>
        <w:rPr>
          <w:rFonts w:ascii="Arial" w:hAnsi="Arial" w:cs="Arial"/>
          <w:sz w:val="20"/>
          <w:szCs w:val="20"/>
          <w:vertAlign w:val="superscript"/>
        </w:rPr>
        <w:t xml:space="preserve">6 </w:t>
      </w:r>
      <w:r>
        <w:rPr>
          <w:rFonts w:ascii="Arial" w:hAnsi="Arial" w:cs="Arial"/>
          <w:sz w:val="20"/>
          <w:szCs w:val="20"/>
        </w:rPr>
        <w:t>, Melissa Hidalgo</w:t>
      </w:r>
      <w:r>
        <w:rPr>
          <w:rFonts w:ascii="Arial" w:hAnsi="Arial" w:cs="Arial"/>
          <w:sz w:val="20"/>
          <w:szCs w:val="20"/>
          <w:vertAlign w:val="superscript"/>
        </w:rPr>
        <w:t>7</w:t>
      </w:r>
      <w:r>
        <w:rPr>
          <w:rFonts w:ascii="Arial" w:hAnsi="Arial" w:cs="Arial"/>
          <w:sz w:val="20"/>
          <w:szCs w:val="20"/>
        </w:rPr>
        <w:t>, Esteban Benalcázar</w:t>
      </w:r>
      <w:r>
        <w:rPr>
          <w:rFonts w:ascii="Arial" w:hAnsi="Arial" w:cs="Arial"/>
          <w:sz w:val="20"/>
          <w:szCs w:val="20"/>
          <w:vertAlign w:val="superscript"/>
        </w:rPr>
        <w:t>8</w:t>
      </w:r>
      <w:r>
        <w:rPr>
          <w:rFonts w:ascii="Arial" w:hAnsi="Arial" w:cs="Arial"/>
          <w:sz w:val="20"/>
          <w:szCs w:val="20"/>
        </w:rPr>
        <w:t>, Florent Rivals</w:t>
      </w:r>
      <w:r>
        <w:rPr>
          <w:rFonts w:ascii="Arial" w:hAnsi="Arial" w:cs="Arial"/>
          <w:sz w:val="20"/>
          <w:szCs w:val="20"/>
          <w:vertAlign w:val="superscript"/>
        </w:rPr>
        <w:t>2,8,9</w:t>
      </w:r>
      <w:r>
        <w:rPr>
          <w:rFonts w:ascii="Arial" w:hAnsi="Arial" w:cs="Arial"/>
          <w:sz w:val="20"/>
          <w:szCs w:val="20"/>
        </w:rPr>
        <w:t xml:space="preserve">. </w:t>
      </w:r>
    </w:p>
    <w:p w14:paraId="4D682EFB">
      <w:pPr>
        <w:spacing w:line="480" w:lineRule="auto"/>
        <w:rPr>
          <w:rFonts w:ascii="Arial" w:hAnsi="Arial" w:cs="Arial"/>
          <w:sz w:val="22"/>
          <w:szCs w:val="22"/>
        </w:rPr>
      </w:pPr>
    </w:p>
    <w:p w14:paraId="30DF430E">
      <w:pPr>
        <w:spacing w:line="480" w:lineRule="auto"/>
        <w:rPr>
          <w:rFonts w:ascii="Arial" w:hAnsi="Arial" w:cs="Arial"/>
          <w:sz w:val="20"/>
          <w:szCs w:val="20"/>
        </w:rPr>
      </w:pPr>
      <w:r>
        <w:rPr>
          <w:rFonts w:ascii="Arial" w:hAnsi="Arial" w:cs="Arial"/>
          <w:sz w:val="20"/>
          <w:szCs w:val="20"/>
          <w:vertAlign w:val="superscript"/>
        </w:rPr>
        <w:t>1</w:t>
      </w:r>
      <w:r>
        <w:rPr>
          <w:rFonts w:ascii="Arial" w:hAnsi="Arial" w:cs="Arial"/>
          <w:sz w:val="20"/>
          <w:szCs w:val="20"/>
        </w:rPr>
        <w:t>Instituto de Ciencias de la Ingeniería, Universidad de O’Higgins, Libertador Bernardo O’Higgins, 611, Rancagua, Chile</w:t>
      </w:r>
    </w:p>
    <w:p w14:paraId="001C2AD5">
      <w:pPr>
        <w:spacing w:line="480" w:lineRule="auto"/>
        <w:rPr>
          <w:rFonts w:ascii="Arial" w:hAnsi="Arial" w:cs="Arial"/>
          <w:sz w:val="20"/>
          <w:szCs w:val="20"/>
        </w:rPr>
      </w:pPr>
      <w:r>
        <w:rPr>
          <w:rFonts w:ascii="Arial" w:hAnsi="Arial" w:cs="Arial"/>
          <w:sz w:val="20"/>
          <w:szCs w:val="20"/>
          <w:vertAlign w:val="superscript"/>
        </w:rPr>
        <w:t>2</w:t>
      </w:r>
      <w:r>
        <w:rPr>
          <w:rFonts w:ascii="Arial" w:hAnsi="Arial" w:cs="Arial"/>
          <w:sz w:val="20"/>
          <w:szCs w:val="20"/>
        </w:rPr>
        <w:t>Institut Català de Paleoecologia Humana i Evolució Social (IPHES-CERCA), Tarragona, Spain</w:t>
      </w:r>
    </w:p>
    <w:p w14:paraId="53A3F070">
      <w:pPr>
        <w:spacing w:line="480" w:lineRule="auto"/>
        <w:rPr>
          <w:rFonts w:ascii="Arial" w:hAnsi="Arial" w:cs="Arial"/>
          <w:sz w:val="20"/>
          <w:szCs w:val="20"/>
          <w:lang w:val="pt-BR"/>
        </w:rPr>
      </w:pPr>
      <w:r>
        <w:rPr>
          <w:rFonts w:ascii="Arial" w:hAnsi="Arial" w:cs="Arial"/>
          <w:sz w:val="20"/>
          <w:szCs w:val="20"/>
          <w:vertAlign w:val="superscript"/>
          <w:lang w:val="en-US"/>
        </w:rPr>
        <w:t>3</w:t>
      </w:r>
      <w:r>
        <w:rPr>
          <w:rFonts w:ascii="Arial" w:hAnsi="Arial" w:cs="Arial"/>
          <w:sz w:val="20"/>
          <w:szCs w:val="20"/>
          <w:lang w:val="en-US"/>
        </w:rPr>
        <w:t>Department of Prehistory, Autonomous University of Barcelona (UAB). 08193 Bellaterra, Spain</w:t>
      </w:r>
    </w:p>
    <w:p w14:paraId="534BE855">
      <w:pPr>
        <w:spacing w:line="480" w:lineRule="auto"/>
        <w:rPr>
          <w:rFonts w:ascii="Arial" w:hAnsi="Arial" w:cs="Arial"/>
          <w:sz w:val="20"/>
          <w:szCs w:val="20"/>
          <w:lang w:val="pt-BR"/>
        </w:rPr>
      </w:pPr>
      <w:r>
        <w:rPr>
          <w:rFonts w:ascii="Arial" w:hAnsi="Arial" w:cs="Arial"/>
          <w:sz w:val="20"/>
          <w:szCs w:val="20"/>
          <w:vertAlign w:val="superscript"/>
        </w:rPr>
        <w:t>4</w:t>
      </w:r>
      <w:r>
        <w:rPr>
          <w:rFonts w:ascii="Arial" w:hAnsi="Arial" w:cs="Arial"/>
          <w:sz w:val="20"/>
          <w:szCs w:val="20"/>
          <w:lang w:val="pt-BR"/>
        </w:rPr>
        <w:t>Programa de Pós-Graduação em Geociências, Universidade do Estado do Rio de Janeiro, Faculdade de Geologia, Departamento de Estratigrafia e Paleontologia, Rua São Francisco Xavier, 524, 20550-900, Maracanã, Rio de Janeiro, Brazil.</w:t>
      </w:r>
    </w:p>
    <w:p w14:paraId="221CDF78">
      <w:pPr>
        <w:spacing w:line="480" w:lineRule="auto"/>
        <w:rPr>
          <w:rFonts w:ascii="Arial" w:hAnsi="Arial" w:cs="Arial"/>
          <w:sz w:val="20"/>
          <w:szCs w:val="20"/>
        </w:rPr>
      </w:pPr>
      <w:r>
        <w:rPr>
          <w:rFonts w:ascii="Arial" w:hAnsi="Arial" w:cs="Arial"/>
          <w:sz w:val="20"/>
          <w:szCs w:val="20"/>
          <w:vertAlign w:val="superscript"/>
        </w:rPr>
        <w:t>5</w:t>
      </w:r>
      <w:r>
        <w:rPr>
          <w:rFonts w:ascii="Arial" w:hAnsi="Arial" w:cs="Arial"/>
          <w:sz w:val="20"/>
          <w:szCs w:val="20"/>
        </w:rPr>
        <w:t>Grupo de Investigación en Ecología y Evolución en los Trópicos-EETrop, Universidad de Las Américas, Quito, Ecuador</w:t>
      </w:r>
    </w:p>
    <w:p w14:paraId="48B5C939">
      <w:pPr>
        <w:spacing w:line="480" w:lineRule="auto"/>
        <w:rPr>
          <w:rFonts w:ascii="Arial" w:hAnsi="Arial" w:cs="Arial"/>
          <w:sz w:val="20"/>
          <w:szCs w:val="20"/>
        </w:rPr>
      </w:pPr>
      <w:r>
        <w:rPr>
          <w:rFonts w:ascii="Arial" w:hAnsi="Arial" w:cs="Arial"/>
          <w:sz w:val="20"/>
          <w:szCs w:val="20"/>
          <w:vertAlign w:val="superscript"/>
        </w:rPr>
        <w:t>6</w:t>
      </w:r>
      <w:r>
        <w:rPr>
          <w:rFonts w:ascii="Arial" w:hAnsi="Arial" w:cs="Arial"/>
          <w:sz w:val="20"/>
          <w:szCs w:val="20"/>
        </w:rPr>
        <w:t>Departamento de Biología, Facultad de Ciencias, Escuela Politécnica Nacional, Quito, Ecuador</w:t>
      </w:r>
    </w:p>
    <w:p w14:paraId="00F56641">
      <w:pPr>
        <w:spacing w:line="480" w:lineRule="auto"/>
        <w:rPr>
          <w:rFonts w:ascii="Arial" w:hAnsi="Arial" w:cs="Arial"/>
          <w:sz w:val="20"/>
          <w:szCs w:val="20"/>
          <w:lang w:val="pt-BR"/>
        </w:rPr>
      </w:pPr>
      <w:r>
        <w:rPr>
          <w:rFonts w:ascii="Arial" w:hAnsi="Arial" w:cs="Arial"/>
          <w:sz w:val="20"/>
          <w:szCs w:val="20"/>
          <w:vertAlign w:val="superscript"/>
          <w:lang w:val="pt-BR"/>
        </w:rPr>
        <w:t>7</w:t>
      </w:r>
      <w:r>
        <w:rPr>
          <w:rFonts w:ascii="Arial" w:hAnsi="Arial" w:cs="Arial"/>
          <w:sz w:val="20"/>
          <w:szCs w:val="20"/>
          <w:lang w:val="pt-BR"/>
        </w:rPr>
        <w:t>Terra Ignota. Capitán Fuentes 288, Ñuñoa, Región Metropolitana.</w:t>
      </w:r>
    </w:p>
    <w:p w14:paraId="61607738">
      <w:pPr>
        <w:spacing w:line="480" w:lineRule="auto"/>
        <w:rPr>
          <w:rFonts w:ascii="Arial" w:hAnsi="Arial" w:cs="Arial"/>
          <w:sz w:val="20"/>
          <w:szCs w:val="20"/>
        </w:rPr>
      </w:pPr>
      <w:r>
        <w:rPr>
          <w:rFonts w:ascii="Arial" w:hAnsi="Arial" w:cs="Arial"/>
          <w:sz w:val="20"/>
          <w:szCs w:val="20"/>
          <w:vertAlign w:val="superscript"/>
        </w:rPr>
        <w:t>8</w:t>
      </w:r>
      <w:r>
        <w:rPr>
          <w:rFonts w:ascii="Arial" w:hAnsi="Arial" w:cs="Arial"/>
          <w:sz w:val="20"/>
          <w:szCs w:val="20"/>
        </w:rPr>
        <w:t>ICREA, Pg. Lluís Companys 23, 08010 Barcelona, Spain</w:t>
      </w:r>
    </w:p>
    <w:p w14:paraId="4CCA949B">
      <w:pPr>
        <w:spacing w:line="480" w:lineRule="auto"/>
        <w:rPr>
          <w:rFonts w:ascii="Arial" w:hAnsi="Arial" w:cs="Arial"/>
          <w:sz w:val="20"/>
          <w:szCs w:val="20"/>
          <w:lang w:val="it-IT"/>
        </w:rPr>
      </w:pPr>
      <w:r>
        <w:rPr>
          <w:rFonts w:ascii="Arial" w:hAnsi="Arial" w:cs="Arial"/>
          <w:sz w:val="20"/>
          <w:szCs w:val="20"/>
          <w:vertAlign w:val="superscript"/>
          <w:lang w:val="it-IT"/>
        </w:rPr>
        <w:t>9</w:t>
      </w:r>
      <w:r>
        <w:rPr>
          <w:rFonts w:ascii="Arial" w:hAnsi="Arial" w:cs="Arial"/>
          <w:sz w:val="20"/>
          <w:szCs w:val="20"/>
          <w:lang w:val="it-IT"/>
        </w:rPr>
        <w:t>Universitat Rovira i Virgili (URV), Departament d’Història i Història de l’Art, Tarragona, Spain</w:t>
      </w:r>
    </w:p>
    <w:p w14:paraId="6953D73C">
      <w:pPr>
        <w:spacing w:line="480" w:lineRule="auto"/>
        <w:rPr>
          <w:rFonts w:ascii="Arial" w:hAnsi="Arial" w:cs="Arial"/>
          <w:sz w:val="20"/>
          <w:szCs w:val="20"/>
        </w:rPr>
      </w:pPr>
    </w:p>
    <w:p w14:paraId="6DDD8274">
      <w:pPr>
        <w:spacing w:line="480" w:lineRule="auto"/>
        <w:rPr>
          <w:rFonts w:hint="default" w:ascii="Arial" w:hAnsi="Arial" w:cs="Arial"/>
          <w:b/>
          <w:bCs/>
          <w:lang w:val="en-IN"/>
        </w:rPr>
      </w:pPr>
      <w:r>
        <w:rPr>
          <w:rFonts w:ascii="Arial" w:hAnsi="Arial" w:cs="Arial"/>
          <w:sz w:val="20"/>
          <w:szCs w:val="20"/>
        </w:rPr>
        <w:t>Corresponding author: *Iván Ramírez-Pedraza</w:t>
      </w:r>
      <w:r>
        <w:rPr>
          <w:rFonts w:hint="default" w:ascii="Arial" w:hAnsi="Arial" w:cs="Arial"/>
          <w:sz w:val="20"/>
          <w:szCs w:val="20"/>
          <w:lang w:val="en-IN"/>
        </w:rPr>
        <w:t xml:space="preserve"> </w:t>
      </w:r>
      <w:r>
        <w:rPr>
          <w:rFonts w:hint="default" w:ascii="Arial" w:hAnsi="Arial"/>
          <w:sz w:val="20"/>
          <w:szCs w:val="20"/>
          <w:lang w:val="en-IN"/>
        </w:rPr>
        <w:t>iramirezpedraza@ub.edu</w:t>
      </w:r>
      <w:bookmarkStart w:id="2" w:name="_GoBack"/>
      <w:bookmarkEnd w:id="2"/>
    </w:p>
    <w:p w14:paraId="54359521">
      <w:pPr>
        <w:spacing w:line="480" w:lineRule="auto"/>
        <w:rPr>
          <w:rFonts w:ascii="Arial" w:hAnsi="Arial" w:cs="Arial"/>
          <w:sz w:val="18"/>
          <w:szCs w:val="18"/>
        </w:rPr>
      </w:pPr>
    </w:p>
    <w:p w14:paraId="55F8AA07">
      <w:pPr>
        <w:spacing w:line="480" w:lineRule="auto"/>
        <w:rPr>
          <w:rFonts w:ascii="Arial" w:hAnsi="Arial" w:cs="Arial"/>
          <w:sz w:val="18"/>
          <w:szCs w:val="18"/>
        </w:rPr>
      </w:pPr>
      <w:r>
        <w:rPr>
          <w:rFonts w:ascii="Arial" w:hAnsi="Arial" w:cs="Arial"/>
          <w:sz w:val="18"/>
          <w:szCs w:val="18"/>
        </w:rPr>
        <w:t>Key words: Ecuador, Gomphotheres, Model, Paleoecology, Paleobiogeography, Pleistocene</w:t>
      </w:r>
    </w:p>
    <w:p w14:paraId="17160744">
      <w:pPr>
        <w:spacing w:line="480" w:lineRule="auto"/>
        <w:rPr>
          <w:rFonts w:ascii="Arial" w:hAnsi="Arial" w:cs="Arial"/>
          <w:b/>
          <w:bCs/>
          <w:sz w:val="22"/>
          <w:szCs w:val="22"/>
          <w:lang w:val="en-US"/>
        </w:rPr>
      </w:pPr>
    </w:p>
    <w:p w14:paraId="1491A792">
      <w:pPr>
        <w:spacing w:line="480" w:lineRule="auto"/>
        <w:rPr>
          <w:rFonts w:ascii="Arial" w:hAnsi="Arial" w:cs="Arial"/>
          <w:b/>
          <w:bCs/>
          <w:sz w:val="22"/>
          <w:szCs w:val="22"/>
          <w:lang w:val="en-US"/>
        </w:rPr>
      </w:pPr>
    </w:p>
    <w:p w14:paraId="457677C3">
      <w:pPr>
        <w:spacing w:line="480" w:lineRule="auto"/>
        <w:rPr>
          <w:rFonts w:ascii="Arial" w:hAnsi="Arial" w:cs="Arial"/>
          <w:b/>
          <w:bCs/>
          <w:sz w:val="22"/>
          <w:szCs w:val="22"/>
          <w:lang w:val="en-US"/>
        </w:rPr>
      </w:pPr>
    </w:p>
    <w:p w14:paraId="5D6A2C75">
      <w:pPr>
        <w:spacing w:line="480" w:lineRule="auto"/>
        <w:rPr>
          <w:rFonts w:ascii="Arial" w:hAnsi="Arial" w:cs="Arial"/>
          <w:b/>
          <w:bCs/>
          <w:sz w:val="22"/>
          <w:szCs w:val="22"/>
          <w:lang w:val="en-US"/>
        </w:rPr>
      </w:pPr>
    </w:p>
    <w:p w14:paraId="0EF5EEB1">
      <w:pPr>
        <w:spacing w:line="480" w:lineRule="auto"/>
        <w:rPr>
          <w:rFonts w:ascii="Arial" w:hAnsi="Arial" w:cs="Arial"/>
          <w:b/>
          <w:bCs/>
          <w:sz w:val="22"/>
          <w:szCs w:val="22"/>
          <w:lang w:val="en-US"/>
        </w:rPr>
      </w:pPr>
    </w:p>
    <w:p w14:paraId="2794C64B">
      <w:pPr>
        <w:spacing w:line="480" w:lineRule="auto"/>
        <w:rPr>
          <w:rFonts w:ascii="Arial" w:hAnsi="Arial" w:cs="Arial"/>
          <w:b/>
          <w:bCs/>
          <w:sz w:val="22"/>
          <w:szCs w:val="22"/>
          <w:lang w:val="en-US"/>
        </w:rPr>
      </w:pPr>
      <w:r>
        <w:rPr>
          <w:rFonts w:ascii="Arial" w:hAnsi="Arial" w:cs="Arial"/>
          <w:b/>
          <w:bCs/>
          <w:sz w:val="22"/>
          <w:szCs w:val="22"/>
          <w:lang w:val="en-US"/>
        </w:rPr>
        <w:t>Abstract</w:t>
      </w:r>
    </w:p>
    <w:p w14:paraId="54ADCD50">
      <w:pPr>
        <w:spacing w:line="480" w:lineRule="auto"/>
        <w:rPr>
          <w:rFonts w:ascii="Arial" w:hAnsi="Arial" w:cs="Arial"/>
          <w:sz w:val="22"/>
          <w:szCs w:val="22"/>
          <w:lang w:val="en-US"/>
        </w:rPr>
      </w:pPr>
      <w:r>
        <w:rPr>
          <w:rFonts w:ascii="Arial" w:hAnsi="Arial" w:cs="Arial"/>
          <w:sz w:val="22"/>
          <w:szCs w:val="22"/>
          <w:lang w:val="en-US"/>
        </w:rPr>
        <w:t xml:space="preserve">Aim: Paleoenvironmental records have indicated that neotropical areas near the equatorial area experienced a decrease in rainfall during the Last Glacial Maximum. However, some records show contradictory paleoenvironmental signs. To resolve these differences, previous studies have proposed two demographic/genetic scenarios for cloud forests based on opposing precipitation regimes. We use a multiproxy approach on extinct proboscideans (so-called gomphotheres) from Ecuador, to determine the magnitude of the influence of the wet and dry forest model on the coast and in the Inter-Andean Valley of Ecuador. </w:t>
      </w:r>
    </w:p>
    <w:p w14:paraId="74321956">
      <w:pPr>
        <w:spacing w:line="480" w:lineRule="auto"/>
        <w:rPr>
          <w:rFonts w:ascii="Arial" w:hAnsi="Arial" w:cs="Arial"/>
          <w:sz w:val="22"/>
          <w:szCs w:val="22"/>
          <w:lang w:val="en-US"/>
        </w:rPr>
      </w:pPr>
      <w:r>
        <w:rPr>
          <w:rFonts w:ascii="Arial" w:hAnsi="Arial" w:cs="Arial"/>
          <w:sz w:val="22"/>
          <w:szCs w:val="22"/>
          <w:lang w:val="en-US"/>
        </w:rPr>
        <w:t>Location: Ecuador.</w:t>
      </w:r>
    </w:p>
    <w:p w14:paraId="101CAC0A">
      <w:pPr>
        <w:spacing w:line="480" w:lineRule="auto"/>
        <w:rPr>
          <w:rFonts w:ascii="Arial" w:hAnsi="Arial" w:cs="Arial"/>
          <w:sz w:val="22"/>
          <w:szCs w:val="22"/>
          <w:lang w:val="en-US"/>
        </w:rPr>
      </w:pPr>
      <w:r>
        <w:rPr>
          <w:rFonts w:ascii="Arial" w:hAnsi="Arial" w:cs="Arial"/>
          <w:sz w:val="22"/>
          <w:szCs w:val="22"/>
          <w:lang w:val="en-US"/>
        </w:rPr>
        <w:t xml:space="preserve">Taxon: </w:t>
      </w:r>
      <w:r>
        <w:rPr>
          <w:rFonts w:ascii="Arial" w:hAnsi="Arial" w:cs="Arial"/>
          <w:i/>
          <w:iCs/>
          <w:sz w:val="22"/>
          <w:szCs w:val="22"/>
          <w:lang w:val="en-US"/>
        </w:rPr>
        <w:t>Notiomastodon platensis</w:t>
      </w:r>
      <w:r>
        <w:rPr>
          <w:rFonts w:ascii="Arial" w:hAnsi="Arial" w:cs="Arial"/>
          <w:sz w:val="22"/>
          <w:szCs w:val="22"/>
          <w:lang w:val="en-US"/>
        </w:rPr>
        <w:t>.</w:t>
      </w:r>
    </w:p>
    <w:p w14:paraId="28C0B6E1">
      <w:pPr>
        <w:spacing w:line="480" w:lineRule="auto"/>
        <w:rPr>
          <w:rFonts w:ascii="Arial" w:hAnsi="Arial" w:cs="Arial"/>
          <w:sz w:val="22"/>
          <w:szCs w:val="22"/>
          <w:lang w:val="en-US"/>
        </w:rPr>
      </w:pPr>
      <w:r>
        <w:rPr>
          <w:rFonts w:ascii="Arial" w:hAnsi="Arial" w:cs="Arial"/>
          <w:sz w:val="22"/>
          <w:szCs w:val="22"/>
          <w:lang w:val="en-US"/>
        </w:rPr>
        <w:t xml:space="preserve">Methods: Fossil molars were analyzed using stable isotope analysis, dental microwear analysis, and radiocarbon dating. </w:t>
      </w:r>
    </w:p>
    <w:p w14:paraId="36283BFC">
      <w:pPr>
        <w:spacing w:line="480" w:lineRule="auto"/>
        <w:rPr>
          <w:rFonts w:ascii="Arial" w:hAnsi="Arial" w:cs="Arial"/>
          <w:sz w:val="22"/>
          <w:szCs w:val="22"/>
          <w:lang w:val="en-US"/>
        </w:rPr>
      </w:pPr>
      <w:r>
        <w:rPr>
          <w:rFonts w:ascii="Arial" w:hAnsi="Arial" w:cs="Arial"/>
          <w:sz w:val="22"/>
          <w:szCs w:val="22"/>
          <w:lang w:val="en-US"/>
        </w:rPr>
        <w:t>Results: The gomphotheres that were analyzed by radiocarbon dating indicated a range between 23,830 and 31,820 cal yr BP. The 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bioapatite</w:t>
      </w:r>
      <w:r>
        <w:rPr>
          <w:rFonts w:ascii="Arial" w:hAnsi="Arial" w:cs="Arial"/>
          <w:sz w:val="22"/>
          <w:szCs w:val="22"/>
          <w:lang w:val="en-US"/>
        </w:rPr>
        <w:t xml:space="preserve"> results (–14.82 to –0.78 ‰) indicate that proboscideans lived in a wide variety of environments; however, the values indicate a tendency towards more open and relatively dry environments. We also used dental microwear analysis, which points in the same direction: mostly grass consumption. The δ</w:t>
      </w:r>
      <w:r>
        <w:rPr>
          <w:rFonts w:ascii="Arial" w:hAnsi="Arial" w:cs="Arial"/>
          <w:sz w:val="22"/>
          <w:szCs w:val="22"/>
          <w:vertAlign w:val="superscript"/>
          <w:lang w:val="en-US"/>
        </w:rPr>
        <w:t>18</w:t>
      </w:r>
      <w:r>
        <w:rPr>
          <w:rFonts w:ascii="Arial" w:hAnsi="Arial" w:cs="Arial"/>
          <w:sz w:val="22"/>
          <w:szCs w:val="22"/>
          <w:lang w:val="en-US"/>
        </w:rPr>
        <w:t>O meteoric water values ​​calculated from tooth enamel indicate a clear altitudinal effect on the distribution of proboscideans. Furthermore, the δ</w:t>
      </w:r>
      <w:r>
        <w:rPr>
          <w:rFonts w:ascii="Arial" w:hAnsi="Arial" w:cs="Arial"/>
          <w:sz w:val="22"/>
          <w:szCs w:val="22"/>
          <w:vertAlign w:val="superscript"/>
          <w:lang w:val="en-US"/>
        </w:rPr>
        <w:t>18</w:t>
      </w:r>
      <w:r>
        <w:rPr>
          <w:rFonts w:ascii="Arial" w:hAnsi="Arial" w:cs="Arial"/>
          <w:sz w:val="22"/>
          <w:szCs w:val="22"/>
          <w:lang w:val="en-US"/>
        </w:rPr>
        <w:t xml:space="preserve">O meteoric water values ​​are similar to those observed at present-day meteorological stations in Ecuador. </w:t>
      </w:r>
    </w:p>
    <w:p w14:paraId="2C9D3C2A">
      <w:pPr>
        <w:spacing w:line="480" w:lineRule="auto"/>
        <w:rPr>
          <w:rFonts w:ascii="Arial" w:hAnsi="Arial" w:cs="Arial"/>
          <w:sz w:val="22"/>
          <w:szCs w:val="22"/>
          <w:lang w:val="en-US"/>
        </w:rPr>
      </w:pPr>
      <w:r>
        <w:rPr>
          <w:rFonts w:ascii="Arial" w:hAnsi="Arial" w:cs="Arial"/>
          <w:sz w:val="22"/>
          <w:szCs w:val="22"/>
          <w:lang w:val="en-US"/>
        </w:rPr>
        <w:t>Main conclusions: At least during the lifetime of proboscideans, we interpret that there were no significant differences in the δ</w:t>
      </w:r>
      <w:r>
        <w:rPr>
          <w:rFonts w:ascii="Arial" w:hAnsi="Arial" w:cs="Arial"/>
          <w:sz w:val="22"/>
          <w:szCs w:val="22"/>
          <w:vertAlign w:val="superscript"/>
          <w:lang w:val="en-US"/>
        </w:rPr>
        <w:t>18</w:t>
      </w:r>
      <w:r>
        <w:rPr>
          <w:rFonts w:ascii="Arial" w:hAnsi="Arial" w:cs="Arial"/>
          <w:sz w:val="22"/>
          <w:szCs w:val="22"/>
          <w:lang w:val="en-US"/>
        </w:rPr>
        <w:t>O values ​​of atmospheric circulation between the Late Pleistocene and the present in the Ecuador area. Although there are still large chronological gaps in paleoenvironmental reconstruction, the effects of the "dry refuge model" probably had the greatest impact on the landscape of Ecuador during the Late Pleistocene; namely, cloud forests underwent a process of displacement and compression into refuges due to the opposing effects of aridity and cooling.</w:t>
      </w:r>
    </w:p>
    <w:p w14:paraId="7BD977D3">
      <w:pPr>
        <w:spacing w:line="480" w:lineRule="auto"/>
        <w:rPr>
          <w:rFonts w:ascii="Arial" w:hAnsi="Arial" w:cs="Arial"/>
          <w:b/>
          <w:bCs/>
          <w:sz w:val="22"/>
          <w:szCs w:val="22"/>
          <w:lang w:val="en-US"/>
        </w:rPr>
      </w:pPr>
    </w:p>
    <w:p w14:paraId="4412F1B5">
      <w:pPr>
        <w:spacing w:line="480" w:lineRule="auto"/>
        <w:rPr>
          <w:rFonts w:ascii="Arial" w:hAnsi="Arial" w:cs="Arial"/>
          <w:b/>
          <w:bCs/>
          <w:sz w:val="22"/>
          <w:szCs w:val="22"/>
          <w:lang w:val="en-US"/>
        </w:rPr>
      </w:pPr>
      <w:r>
        <w:rPr>
          <w:rFonts w:ascii="Arial" w:hAnsi="Arial" w:cs="Arial"/>
          <w:b/>
          <w:bCs/>
          <w:sz w:val="22"/>
          <w:szCs w:val="22"/>
          <w:lang w:val="en-US"/>
        </w:rPr>
        <w:t>1. Introduction</w:t>
      </w:r>
    </w:p>
    <w:p w14:paraId="25CF74D6">
      <w:pPr>
        <w:spacing w:line="480" w:lineRule="auto"/>
        <w:rPr>
          <w:rFonts w:ascii="Arial" w:hAnsi="Arial" w:cs="Arial"/>
          <w:b/>
          <w:bCs/>
          <w:sz w:val="22"/>
          <w:szCs w:val="22"/>
          <w:lang w:val="en-US"/>
        </w:rPr>
      </w:pPr>
    </w:p>
    <w:p w14:paraId="1D009E57">
      <w:pPr>
        <w:spacing w:line="480" w:lineRule="auto"/>
        <w:ind w:firstLine="708"/>
        <w:rPr>
          <w:rFonts w:ascii="Arial" w:hAnsi="Arial" w:cs="Arial"/>
          <w:sz w:val="22"/>
          <w:szCs w:val="22"/>
          <w:lang w:val="en-US"/>
        </w:rPr>
      </w:pPr>
      <w:r>
        <w:rPr>
          <w:rFonts w:ascii="Arial" w:hAnsi="Arial" w:cs="Arial"/>
          <w:sz w:val="22"/>
          <w:szCs w:val="22"/>
          <w:lang w:val="en-US"/>
        </w:rPr>
        <w:t>The forest refugia hypothesis suggests that Late Pleistocene glacial cycles influenced the advance and retreat of Neotropical tropical forests, isolating the plant species that comprise them in optimal environments for their survival (Hewitt 2004). In tropical areas, glaciations caused aridity, which led to the fragmentation of tropical forests into multiple distinct forest patches, intercalated by non-forest vegetation (e.g., Carnaval et al. 2009;</w:t>
      </w:r>
      <w:r>
        <w:rPr>
          <w:rFonts w:ascii="Helvetica" w:hAnsi="Helvetica" w:cs="Helvetica"/>
          <w:lang/>
        </w:rPr>
        <w:t xml:space="preserve"> </w:t>
      </w:r>
      <w:r>
        <w:rPr>
          <w:rFonts w:ascii="Arial" w:hAnsi="Arial" w:cs="Arial"/>
          <w:sz w:val="22"/>
          <w:szCs w:val="22"/>
          <w:lang w:val="en-US"/>
        </w:rPr>
        <w:t xml:space="preserve">Fontes et al. 2017). However, there are some authors who say that tropical forests remained stable during the glaciations (e.g., Hostetler and Mix, 1999; </w:t>
      </w:r>
      <w:r>
        <w:rPr>
          <w:rFonts w:ascii="Arial" w:hAnsi="Arial" w:cs="Arial"/>
          <w:sz w:val="22"/>
          <w:szCs w:val="22"/>
          <w:lang/>
        </w:rPr>
        <w:t>Beerling et al. 2006; Cheng et al. 2013), suggesting</w:t>
      </w:r>
      <w:r>
        <w:rPr>
          <w:rFonts w:ascii="Arial" w:hAnsi="Arial" w:cs="Arial"/>
          <w:sz w:val="22"/>
          <w:szCs w:val="22"/>
          <w:lang w:val="en-US"/>
        </w:rPr>
        <w:t xml:space="preserve"> that changes in precipitation had a minor effect on the continuity of forest cover. </w:t>
      </w:r>
      <w:r>
        <w:rPr>
          <w:rFonts w:ascii="Arial" w:hAnsi="Arial" w:cs="Arial"/>
          <w:sz w:val="22"/>
          <w:szCs w:val="22"/>
          <w:lang/>
        </w:rPr>
        <w:t xml:space="preserve">These opposing viewpoints have led to different ideas about the consequences of decreased rainfall on the continuity of tropical forests, thereby keeping alive the debate over  whether cloud forests (tropical and subtropical mountain forests, which live in high humidity enviroments) were transformed into forest refuges during the Last Glacial Maximum. </w:t>
      </w:r>
    </w:p>
    <w:p w14:paraId="41BC6C3D">
      <w:pPr>
        <w:spacing w:line="480" w:lineRule="auto"/>
        <w:ind w:firstLine="708"/>
        <w:rPr>
          <w:rFonts w:ascii="Arial" w:hAnsi="Arial" w:cs="Arial"/>
          <w:sz w:val="22"/>
          <w:szCs w:val="22"/>
          <w:lang w:val="en-US"/>
        </w:rPr>
      </w:pPr>
      <w:r>
        <w:rPr>
          <w:rFonts w:ascii="Arial" w:hAnsi="Arial" w:cs="Arial"/>
          <w:sz w:val="22"/>
          <w:szCs w:val="22"/>
          <w:lang w:val="en-US"/>
        </w:rPr>
        <w:t>In the western flank of the Ecuadorian Andes (Figure 1), during the Late Pleistocene, the geographic distribution of tropical forest refugia remains unresolved. Based on the study of current plant distribution patterns, it has been hypothesized that lowland tropical forests survived the glacial stages within a refuge known as Chocó, located on the northwest Pacific coast of Ecuador and on the west Pacific coast of Colombia (Prance 1982). Furthermore, premontane rainforests (1000–1800 m.a.s.l) could also have acted as refugia, as they are found in the western foothills of the Andes Mountains of Ecuador. In this context, two more specific models have been proposed (Ramírez-Barahona and Eguiarte 2013). The first refers to the moist forest hypothesis, which suggests that glacial cooling promoted the displacement of premontane and montane neotropical rainforests to lower altitudes (Colinvaux et al. 1997). However, the moisture available in the adjacent lowlands may have been the determining factor controlling the displacement of the vegetation (Ramírez-Barahona and Eguiarte 2013). In this scenario, the Andean foothills of northwestern Ecuador may not have acted as refugia during the Pleistocene, as premontane rainforests could instead have migrated downslope to the northern coast (Hooghiemstra and Van Der Hammen 1998). Second, the dry forest hypothesis predicts the isolation of forests at mid-altitudes (Ramírez-Barahona and Eguiarte 2013). Because the lowland areas of southwestern Ecuador remained relatively dry during the Pleistocene (Heusser and Shackleton 1994), the adjacent Andean foothills could have supported premontane rainforests during glacial cycles as they were unable to migrate to the arid lowlands (Escobar et al. 2021). Namely, cloud forests were displaced and confined to refugia by the opposing effects of aridity and cooling</w:t>
      </w:r>
      <w:r>
        <w:t xml:space="preserve"> a</w:t>
      </w:r>
      <w:r>
        <w:rPr>
          <w:rFonts w:ascii="Arial" w:hAnsi="Arial" w:cs="Arial"/>
          <w:sz w:val="22"/>
          <w:szCs w:val="22"/>
          <w:lang w:val="en-US"/>
        </w:rPr>
        <w:t xml:space="preserve">nd later expanded to recolonize the species' former range as wetter and warmer conditions emerged (Ramírez-Barahona and Eguiarte 2013). Thus, whether for lowland and mid-altitudes, according to the moist forest model, we should expect more forested and humid environments (from scrubland to dense forests), whereas, according to the dry forest model, we should expect more open and dry environments (from grasslands to scrubland). </w:t>
      </w:r>
    </w:p>
    <w:p w14:paraId="79A0659D">
      <w:pPr>
        <w:spacing w:line="480" w:lineRule="auto"/>
        <w:ind w:firstLine="708"/>
        <w:rPr>
          <w:rFonts w:ascii="Arial" w:hAnsi="Arial" w:cs="Arial"/>
          <w:sz w:val="22"/>
          <w:szCs w:val="22"/>
          <w:lang w:val="en-US"/>
        </w:rPr>
      </w:pPr>
      <w:r>
        <w:rPr>
          <w:rFonts w:ascii="Arial" w:hAnsi="Arial" w:cs="Arial"/>
          <w:sz w:val="22"/>
          <w:szCs w:val="22"/>
          <w:lang w:val="en-US"/>
        </w:rPr>
        <w:t>Due to the scarcity of paleoenvironmental records from the Late Pleistocene of Ecuador and given the abundant fossil record of proboscideans spanning elevations from near sea level (8 m.a.s.l) to the high Andes (3,000 m.a.s.l), we use a multiproxy approach on this taxon to assess the influence of  humid and dry forest models</w:t>
      </w:r>
      <w:r>
        <w:t xml:space="preserve"> </w:t>
      </w:r>
      <w:r>
        <w:rPr>
          <w:rFonts w:ascii="Arial" w:hAnsi="Arial" w:cs="Arial"/>
          <w:sz w:val="22"/>
          <w:szCs w:val="22"/>
          <w:lang w:val="en-US"/>
        </w:rPr>
        <w:t xml:space="preserve">on the coast and in the Inter-Andean Valley of Ecuador, at least at the lifetime of gomphothere populations (Figure 1). Our hypothesis indicates that the environments inhabited by the Ecuadorian gomphotheres during the Late Pleistocene were drier than present on the western slope of the Ecuadorian Andes, as a consequence of the cold Humboldt Current along the Pacific coast and the progressive decrease in moisture coming from the Amazon and Atlantic Ocean. To test this hypothesis, we investigate dietary and paleoenvironmental patterns using a multiproxy approach (i.e. stable isotopes, dental microwear and radiocarbon dating), aiming to get some insights on the predominant type of vegetation on the coast and in the Inter-Andean Valley of Ecuador during the Late Pleistocene. </w:t>
      </w:r>
    </w:p>
    <w:p w14:paraId="703F0119">
      <w:pPr>
        <w:spacing w:line="480" w:lineRule="auto"/>
        <w:ind w:firstLine="708"/>
        <w:rPr>
          <w:rFonts w:ascii="Arial" w:hAnsi="Arial" w:cs="Arial"/>
          <w:sz w:val="22"/>
          <w:szCs w:val="22"/>
          <w:lang w:val="en-US"/>
        </w:rPr>
      </w:pPr>
      <w:r>
        <w:rPr>
          <w:rFonts w:ascii="Arial" w:hAnsi="Arial" w:cs="Arial"/>
          <w:sz w:val="22"/>
          <w:szCs w:val="22"/>
          <w:lang w:val="en-US"/>
        </w:rPr>
        <w:t xml:space="preserve">Gomphothere fossils represent one of the most conspicuous elements of Quaternary paleontological deposits in South America. Recent taxonomic revisions recognize two species in the continent: </w:t>
      </w:r>
      <w:r>
        <w:rPr>
          <w:rFonts w:ascii="Arial" w:hAnsi="Arial" w:cs="Arial"/>
          <w:i/>
          <w:iCs/>
          <w:sz w:val="22"/>
          <w:szCs w:val="22"/>
          <w:lang w:val="en-US"/>
        </w:rPr>
        <w:t xml:space="preserve">Notiomastodon platensis </w:t>
      </w:r>
      <w:r>
        <w:rPr>
          <w:rFonts w:ascii="Arial" w:hAnsi="Arial" w:cs="Arial"/>
          <w:sz w:val="22"/>
          <w:szCs w:val="22"/>
          <w:lang w:val="en-US"/>
        </w:rPr>
        <w:t xml:space="preserve">(Ameghino 1888) and </w:t>
      </w:r>
      <w:r>
        <w:rPr>
          <w:rFonts w:ascii="Arial" w:hAnsi="Arial" w:cs="Arial"/>
          <w:i/>
          <w:iCs/>
          <w:sz w:val="22"/>
          <w:szCs w:val="22"/>
          <w:lang w:val="en-US"/>
        </w:rPr>
        <w:t xml:space="preserve">Cuvieronius hyodon </w:t>
      </w:r>
      <w:r>
        <w:rPr>
          <w:rFonts w:ascii="Arial" w:hAnsi="Arial" w:cs="Arial"/>
          <w:sz w:val="22"/>
          <w:szCs w:val="22"/>
          <w:lang w:val="en-US"/>
        </w:rPr>
        <w:t xml:space="preserve">(Fischer 1814) (Mothé and Avilla 2015; Mothé et al. 2017). The inclusion of both taxa in this study has a functional meaning, given the consensus that South American gomphotheres had generalist/opportunistic dietary behavior  (Asevedo 2015; Mothé et al. 2017; Araújo et al. 2021).Therefore their diets should reflect the vegetation available in the environments they inhabited (Asevedo et al. 2020; González-Guarda et al. 2018). This dietary flexibility is supported by multiple lines of evidence, including mandibular biomechanics studies of </w:t>
      </w:r>
      <w:r>
        <w:rPr>
          <w:rFonts w:ascii="Arial" w:hAnsi="Arial" w:cs="Arial"/>
          <w:i/>
          <w:iCs/>
          <w:sz w:val="22"/>
          <w:szCs w:val="22"/>
          <w:lang w:val="en-US"/>
        </w:rPr>
        <w:t>Notiomastodon platensis</w:t>
      </w:r>
      <w:r>
        <w:rPr>
          <w:rFonts w:ascii="Arial" w:hAnsi="Arial" w:cs="Arial"/>
          <w:sz w:val="22"/>
          <w:szCs w:val="22"/>
          <w:lang w:val="en-US"/>
        </w:rPr>
        <w:t xml:space="preserve"> (Benalcázar 2025) and a strong correlation between gomphothere diets (i.e., browsing behavior) and vegetation structure (tree biomass inferred from pollen records) along a latitudinal gradient of 1,500 km in central Chile (González-Guarda et al. 2024; González-Guarda et. 2025).</w:t>
      </w:r>
    </w:p>
    <w:p w14:paraId="19D9B7CF">
      <w:pPr>
        <w:spacing w:line="480" w:lineRule="auto"/>
        <w:rPr>
          <w:rFonts w:ascii="Arial" w:hAnsi="Arial" w:cs="Arial"/>
          <w:sz w:val="22"/>
          <w:szCs w:val="22"/>
          <w:lang w:val="en-US"/>
        </w:rPr>
      </w:pPr>
    </w:p>
    <w:p w14:paraId="788A5E5D">
      <w:pPr>
        <w:spacing w:line="480" w:lineRule="auto"/>
        <w:rPr>
          <w:rFonts w:ascii="Arial" w:hAnsi="Arial" w:cs="Arial"/>
          <w:sz w:val="22"/>
          <w:szCs w:val="22"/>
          <w:lang w:val="en-US"/>
        </w:rPr>
      </w:pPr>
      <w:r>
        <w:rPr>
          <w:rFonts w:ascii="Arial" w:hAnsi="Arial" w:cs="Arial"/>
          <w:b/>
          <w:bCs/>
          <w:sz w:val="22"/>
          <w:szCs w:val="22"/>
          <w:lang w:val="en-US"/>
        </w:rPr>
        <w:t>2.</w:t>
      </w:r>
      <w:r>
        <w:rPr>
          <w:rFonts w:ascii="Arial" w:hAnsi="Arial" w:cs="Arial"/>
          <w:sz w:val="22"/>
          <w:szCs w:val="22"/>
          <w:lang w:val="en-US"/>
        </w:rPr>
        <w:t xml:space="preserve"> </w:t>
      </w:r>
      <w:r>
        <w:rPr>
          <w:rFonts w:ascii="Arial" w:hAnsi="Arial" w:cs="Arial"/>
          <w:b/>
          <w:bCs/>
          <w:sz w:val="22"/>
          <w:szCs w:val="22"/>
          <w:lang w:val="en-US"/>
        </w:rPr>
        <w:t>Material and Methods</w:t>
      </w:r>
    </w:p>
    <w:p w14:paraId="6F530F8B">
      <w:pPr>
        <w:spacing w:line="480" w:lineRule="auto"/>
        <w:rPr>
          <w:rFonts w:ascii="Arial" w:hAnsi="Arial" w:cs="Arial"/>
          <w:sz w:val="22"/>
          <w:szCs w:val="22"/>
          <w:lang w:val="en-US"/>
        </w:rPr>
      </w:pPr>
    </w:p>
    <w:p w14:paraId="626AE6DD">
      <w:pPr>
        <w:spacing w:line="480" w:lineRule="auto"/>
        <w:rPr>
          <w:rFonts w:ascii="Arial" w:hAnsi="Arial" w:cs="Arial"/>
          <w:i/>
          <w:iCs/>
          <w:sz w:val="22"/>
          <w:szCs w:val="22"/>
          <w:lang w:val="en-US"/>
        </w:rPr>
      </w:pPr>
      <w:r>
        <w:rPr>
          <w:rFonts w:ascii="Arial" w:hAnsi="Arial" w:cs="Arial"/>
          <w:sz w:val="22"/>
          <w:szCs w:val="22"/>
          <w:lang w:val="en-US"/>
        </w:rPr>
        <w:t xml:space="preserve">2.1. </w:t>
      </w:r>
      <w:r>
        <w:rPr>
          <w:rFonts w:ascii="Arial" w:hAnsi="Arial" w:cs="Arial"/>
          <w:i/>
          <w:iCs/>
          <w:sz w:val="22"/>
          <w:szCs w:val="22"/>
          <w:lang w:val="en-US"/>
        </w:rPr>
        <w:t>Material</w:t>
      </w:r>
    </w:p>
    <w:p w14:paraId="289CDC48">
      <w:pPr>
        <w:spacing w:line="480" w:lineRule="auto"/>
        <w:rPr>
          <w:rFonts w:ascii="Arial" w:hAnsi="Arial" w:cs="Arial"/>
          <w:sz w:val="22"/>
          <w:szCs w:val="22"/>
          <w:lang w:val="en-US"/>
        </w:rPr>
      </w:pPr>
      <w:r>
        <w:rPr>
          <w:rFonts w:ascii="Arial" w:hAnsi="Arial" w:cs="Arial"/>
          <w:sz w:val="22"/>
          <w:szCs w:val="22"/>
          <w:lang w:val="en-US"/>
        </w:rPr>
        <w:t xml:space="preserve">The molar specimens analyzed were grouped taxonomically as </w:t>
      </w:r>
      <w:r>
        <w:rPr>
          <w:rFonts w:ascii="Arial" w:hAnsi="Arial" w:cs="Arial"/>
          <w:i/>
          <w:iCs/>
          <w:sz w:val="22"/>
          <w:szCs w:val="22"/>
          <w:lang w:val="en-US"/>
        </w:rPr>
        <w:t xml:space="preserve">Notiomastodon </w:t>
      </w:r>
      <w:r>
        <w:rPr>
          <w:rFonts w:ascii="Arial" w:hAnsi="Arial" w:cs="Arial"/>
          <w:sz w:val="22"/>
          <w:szCs w:val="22"/>
          <w:lang w:val="en-US"/>
        </w:rPr>
        <w:t xml:space="preserve">cf. </w:t>
      </w:r>
      <w:r>
        <w:rPr>
          <w:rFonts w:ascii="Arial" w:hAnsi="Arial" w:cs="Arial"/>
          <w:i/>
          <w:iCs/>
          <w:sz w:val="22"/>
          <w:szCs w:val="22"/>
          <w:lang w:val="en-US"/>
        </w:rPr>
        <w:t>platensis</w:t>
      </w:r>
      <w:r>
        <w:rPr>
          <w:rFonts w:ascii="Arial" w:hAnsi="Arial" w:cs="Arial"/>
          <w:sz w:val="22"/>
          <w:szCs w:val="22"/>
          <w:lang w:val="en-US"/>
        </w:rPr>
        <w:t xml:space="preserve"> and </w:t>
      </w:r>
      <w:r>
        <w:rPr>
          <w:rFonts w:ascii="Arial" w:hAnsi="Arial" w:cs="Arial"/>
          <w:i/>
          <w:iCs/>
          <w:sz w:val="22"/>
          <w:szCs w:val="22"/>
          <w:lang w:val="en-US"/>
        </w:rPr>
        <w:t>Cuvieronius</w:t>
      </w:r>
      <w:r>
        <w:rPr>
          <w:rFonts w:ascii="Arial" w:hAnsi="Arial" w:cs="Arial"/>
          <w:sz w:val="22"/>
          <w:szCs w:val="22"/>
          <w:lang w:val="en-US"/>
        </w:rPr>
        <w:t xml:space="preserve"> cf. </w:t>
      </w:r>
      <w:r>
        <w:rPr>
          <w:rFonts w:ascii="Arial" w:hAnsi="Arial" w:cs="Arial"/>
          <w:i/>
          <w:iCs/>
          <w:sz w:val="22"/>
          <w:szCs w:val="22"/>
          <w:lang w:val="en-US"/>
        </w:rPr>
        <w:t>hyodon</w:t>
      </w:r>
      <w:r>
        <w:rPr>
          <w:rFonts w:ascii="Arial" w:hAnsi="Arial" w:cs="Arial"/>
          <w:sz w:val="22"/>
          <w:szCs w:val="22"/>
          <w:lang w:val="en-US"/>
        </w:rPr>
        <w:t>, since dentary elements are not diagnostic at specific level among the South American gomphotheres (Mothé et al. 2015; 2017). Altogether, 43 bulk samples of gomphothere molars were subject to stable isotope analysis in the structural carbonate of the bioapatite (δ</w:t>
      </w:r>
      <w:r>
        <w:rPr>
          <w:rFonts w:ascii="Arial" w:hAnsi="Arial" w:cs="Arial"/>
          <w:sz w:val="22"/>
          <w:szCs w:val="22"/>
          <w:vertAlign w:val="superscript"/>
          <w:lang w:val="en-US"/>
        </w:rPr>
        <w:t>13</w:t>
      </w:r>
      <w:r>
        <w:rPr>
          <w:rFonts w:ascii="Arial" w:hAnsi="Arial" w:cs="Arial"/>
          <w:sz w:val="22"/>
          <w:szCs w:val="22"/>
          <w:lang w:val="en-US"/>
        </w:rPr>
        <w:t>C and δ</w:t>
      </w:r>
      <w:r>
        <w:rPr>
          <w:rFonts w:ascii="Arial" w:hAnsi="Arial" w:cs="Arial"/>
          <w:sz w:val="22"/>
          <w:szCs w:val="22"/>
          <w:vertAlign w:val="superscript"/>
          <w:lang w:val="en-US"/>
        </w:rPr>
        <w:t>18</w:t>
      </w:r>
      <w:r>
        <w:rPr>
          <w:rFonts w:ascii="Arial" w:hAnsi="Arial" w:cs="Arial"/>
          <w:sz w:val="22"/>
          <w:szCs w:val="22"/>
          <w:lang w:val="en-US"/>
        </w:rPr>
        <w:t xml:space="preserve">O) (Table S1; Figure 1). In addition, carbon isotope data of 16 specimens previously published by Sánchez et al. (2004) were included in the statistical analysis. For the microwear analysis, 46 specimens were selected (Table S2; Figure 1). All the fossil specimens are part of the paleontological collection at Laboratorio de Paleontología de la Escuela Politécnica de Quito, Ecuador (Supplementary Data). In an effort to establish a temporal reference for analysis, five enamel samples from different specimens were sent to the Center for Applied Isotope Studies of the University of Georgia (United States) for radiocarbon dating analyses in bioapatite (Table 1). Of these, two sampled specimens come from the coastal region (Santa Elena and Manabí provinces) and three from the Andean region (Chimborazo, Cotopaxi and Pichincha provinces).  </w:t>
      </w:r>
    </w:p>
    <w:p w14:paraId="214317A6">
      <w:pPr>
        <w:spacing w:line="480" w:lineRule="auto"/>
        <w:rPr>
          <w:rFonts w:ascii="Arial" w:hAnsi="Arial" w:cs="Arial"/>
          <w:i/>
          <w:iCs/>
          <w:sz w:val="22"/>
          <w:szCs w:val="22"/>
          <w:lang w:val="en-US"/>
        </w:rPr>
      </w:pPr>
    </w:p>
    <w:p w14:paraId="57F5C9D8">
      <w:pPr>
        <w:spacing w:line="480" w:lineRule="auto"/>
        <w:rPr>
          <w:rFonts w:ascii="Arial" w:hAnsi="Arial" w:cs="Arial"/>
          <w:sz w:val="22"/>
          <w:szCs w:val="22"/>
          <w:lang w:val="en-US"/>
        </w:rPr>
      </w:pPr>
      <w:r>
        <w:rPr>
          <w:rFonts w:ascii="Arial" w:hAnsi="Arial" w:cs="Arial"/>
          <w:sz w:val="22"/>
          <w:szCs w:val="22"/>
          <w:lang w:val="en-US"/>
        </w:rPr>
        <w:t xml:space="preserve">2.2. </w:t>
      </w:r>
      <w:r>
        <w:rPr>
          <w:rFonts w:ascii="Arial" w:hAnsi="Arial" w:cs="Arial"/>
          <w:i/>
          <w:iCs/>
          <w:sz w:val="22"/>
          <w:szCs w:val="22"/>
          <w:lang w:val="en-US"/>
        </w:rPr>
        <w:t>Methods</w:t>
      </w:r>
    </w:p>
    <w:p w14:paraId="493CBC80">
      <w:pPr>
        <w:spacing w:line="480" w:lineRule="auto"/>
        <w:ind w:firstLine="708"/>
        <w:rPr>
          <w:rFonts w:ascii="Arial" w:hAnsi="Arial" w:cs="Arial"/>
          <w:sz w:val="22"/>
          <w:szCs w:val="22"/>
          <w:lang w:val="en-US"/>
        </w:rPr>
      </w:pPr>
      <w:r>
        <w:rPr>
          <w:rFonts w:ascii="Arial" w:hAnsi="Arial" w:cs="Arial"/>
          <w:iCs/>
          <w:sz w:val="22"/>
          <w:szCs w:val="22"/>
          <w:lang w:val="en-US"/>
        </w:rPr>
        <w:t xml:space="preserve">Powdered enamel samples (3.5 - 9.5 mg) for stable isotope analysis were chemically analyzed </w:t>
      </w:r>
      <w:r>
        <w:rPr>
          <w:rFonts w:ascii="Arial" w:hAnsi="Arial" w:cs="Arial"/>
          <w:sz w:val="22"/>
          <w:szCs w:val="22"/>
          <w:lang w:val="en-US"/>
        </w:rPr>
        <w:t>at the Biomolecular Laboratory of the Institut Català de Paleoecologia Humana i Evolució Social (IPHES-CERCA),</w:t>
      </w:r>
      <w:r>
        <w:rPr>
          <w:rFonts w:ascii="Arial" w:hAnsi="Arial" w:cs="Arial"/>
          <w:iCs/>
          <w:sz w:val="22"/>
          <w:szCs w:val="22"/>
          <w:lang w:val="en-US"/>
        </w:rPr>
        <w:t xml:space="preserve"> </w:t>
      </w:r>
      <w:r>
        <w:rPr>
          <w:rFonts w:ascii="Arial" w:hAnsi="Arial" w:cs="Arial"/>
          <w:sz w:val="22"/>
          <w:szCs w:val="22"/>
          <w:lang w:val="en-US"/>
        </w:rPr>
        <w:t>following modified protocols from Koch et al. (1997) and Tornero et al. (2013). Pretreated powders were analyzed using a Thermo Kiel III device interfaced with a MAT Finnagan 253 at the Scientific and Technological Centers of the University of Barcelona (CCiTUB), Spain. Measurement accuracy was ensured using two internal laboratory calcium carbonate standards (RC-1 and CECC) normalized to international standards NBS18 and NBS19. Sixteen RC-1 and CECC samples were measured, with RC-1 expected at + 2.83 ‰ δ</w:t>
      </w:r>
      <w:r>
        <w:rPr>
          <w:rFonts w:ascii="Arial" w:hAnsi="Arial" w:cs="Arial"/>
          <w:sz w:val="22"/>
          <w:szCs w:val="22"/>
          <w:vertAlign w:val="superscript"/>
          <w:lang w:val="en-US"/>
        </w:rPr>
        <w:t>13</w:t>
      </w:r>
      <w:r>
        <w:rPr>
          <w:rFonts w:ascii="Arial" w:hAnsi="Arial" w:cs="Arial"/>
          <w:sz w:val="22"/>
          <w:szCs w:val="22"/>
          <w:lang w:val="en-US"/>
        </w:rPr>
        <w:t xml:space="preserve">C and CECC at </w:t>
      </w:r>
      <w:r>
        <w:rPr>
          <w:rFonts w:ascii="Arial" w:hAnsi="Arial" w:cs="Arial"/>
          <w:bCs/>
          <w:sz w:val="22"/>
          <w:szCs w:val="22"/>
          <w:lang w:val="en-US"/>
        </w:rPr>
        <w:t>−</w:t>
      </w:r>
      <w:r>
        <w:rPr>
          <w:rFonts w:ascii="Arial" w:hAnsi="Arial" w:cs="Arial"/>
          <w:sz w:val="22"/>
          <w:szCs w:val="22"/>
          <w:lang w:val="en-US"/>
        </w:rPr>
        <w:t>20.78 ‰ δ</w:t>
      </w:r>
      <w:r>
        <w:rPr>
          <w:rFonts w:ascii="Arial" w:hAnsi="Arial" w:cs="Arial"/>
          <w:sz w:val="22"/>
          <w:szCs w:val="22"/>
          <w:vertAlign w:val="superscript"/>
          <w:lang w:val="en-US"/>
        </w:rPr>
        <w:t>13</w:t>
      </w:r>
      <w:r>
        <w:rPr>
          <w:rFonts w:ascii="Arial" w:hAnsi="Arial" w:cs="Arial"/>
          <w:sz w:val="22"/>
          <w:szCs w:val="22"/>
          <w:lang w:val="en-US"/>
        </w:rPr>
        <w:t xml:space="preserve">C. </w:t>
      </w:r>
    </w:p>
    <w:p w14:paraId="3A1844C1">
      <w:pPr>
        <w:spacing w:line="480" w:lineRule="auto"/>
        <w:ind w:firstLine="567"/>
        <w:rPr>
          <w:rFonts w:ascii="Arial" w:hAnsi="Arial" w:cs="Arial"/>
          <w:sz w:val="22"/>
          <w:szCs w:val="22"/>
          <w:lang w:val="en-US"/>
        </w:rPr>
      </w:pPr>
      <w:r>
        <w:rPr>
          <w:rFonts w:ascii="Arial" w:hAnsi="Arial" w:cs="Arial"/>
          <w:sz w:val="22"/>
          <w:szCs w:val="22"/>
          <w:lang w:val="en-US"/>
        </w:rPr>
        <w:t xml:space="preserve">The mean analytical precision was +0.01 ‰ for both standards. Stable isotope values follow </w:t>
      </w:r>
      <w:r>
        <w:rPr>
          <w:rFonts w:ascii="Arial" w:hAnsi="Arial" w:cs="Arial"/>
          <w:sz w:val="22"/>
          <w:szCs w:val="22"/>
          <w:lang/>
        </w:rPr>
        <w:t>δ</w:t>
      </w:r>
      <w:r>
        <w:rPr>
          <w:rFonts w:ascii="Arial" w:hAnsi="Arial" w:cs="Arial"/>
          <w:sz w:val="22"/>
          <w:szCs w:val="22"/>
          <w:lang w:val="en-US"/>
        </w:rPr>
        <w:t xml:space="preserve">-notation </w:t>
      </w:r>
      <w:r>
        <w:rPr>
          <w:rFonts w:ascii="Arial" w:hAnsi="Arial" w:cs="Arial"/>
          <w:sz w:val="22"/>
          <w:szCs w:val="22"/>
          <w:lang/>
        </w:rPr>
        <w:t>δ</w:t>
      </w:r>
      <w:r>
        <w:rPr>
          <w:rFonts w:ascii="Arial" w:hAnsi="Arial" w:cs="Arial"/>
          <w:sz w:val="22"/>
          <w:szCs w:val="22"/>
          <w:vertAlign w:val="superscript"/>
          <w:lang w:val="en-US"/>
        </w:rPr>
        <w:t>H</w:t>
      </w:r>
      <w:r>
        <w:rPr>
          <w:rFonts w:ascii="Arial" w:hAnsi="Arial" w:cs="Arial"/>
          <w:sz w:val="22"/>
          <w:szCs w:val="22"/>
          <w:lang w:val="en-US"/>
        </w:rPr>
        <w:t>X</w:t>
      </w:r>
      <w:r>
        <w:rPr>
          <w:rFonts w:ascii="Arial" w:hAnsi="Arial" w:cs="Arial"/>
          <w:sz w:val="22"/>
          <w:szCs w:val="22"/>
          <w:vertAlign w:val="subscript"/>
          <w:lang w:val="en-US"/>
        </w:rPr>
        <w:t>sample</w:t>
      </w:r>
      <w:r>
        <w:rPr>
          <w:rFonts w:ascii="Arial" w:hAnsi="Arial" w:cs="Arial"/>
          <w:sz w:val="22"/>
          <w:szCs w:val="22"/>
          <w:lang w:val="en-US"/>
        </w:rPr>
        <w:t>=[(R</w:t>
      </w:r>
      <w:r>
        <w:rPr>
          <w:rFonts w:ascii="Arial" w:hAnsi="Arial" w:cs="Arial"/>
          <w:sz w:val="22"/>
          <w:szCs w:val="22"/>
          <w:vertAlign w:val="subscript"/>
          <w:lang w:val="en-US"/>
        </w:rPr>
        <w:t>sample</w:t>
      </w:r>
      <w:r>
        <w:rPr>
          <w:rFonts w:ascii="Arial" w:hAnsi="Arial" w:cs="Arial"/>
          <w:sz w:val="22"/>
          <w:szCs w:val="22"/>
          <w:lang w:val="en-US"/>
        </w:rPr>
        <w:t>−R</w:t>
      </w:r>
      <w:r>
        <w:rPr>
          <w:rFonts w:ascii="Arial" w:hAnsi="Arial" w:cs="Arial"/>
          <w:sz w:val="22"/>
          <w:szCs w:val="22"/>
          <w:vertAlign w:val="subscript"/>
          <w:lang w:val="en-US"/>
        </w:rPr>
        <w:t>standard</w:t>
      </w:r>
      <w:r>
        <w:rPr>
          <w:rFonts w:ascii="Arial" w:hAnsi="Arial" w:cs="Arial"/>
          <w:sz w:val="22"/>
          <w:szCs w:val="22"/>
          <w:lang w:val="en-US"/>
        </w:rPr>
        <w:t>)/R</w:t>
      </w:r>
      <w:r>
        <w:rPr>
          <w:rFonts w:ascii="Arial" w:hAnsi="Arial" w:cs="Arial"/>
          <w:sz w:val="22"/>
          <w:szCs w:val="22"/>
          <w:vertAlign w:val="subscript"/>
          <w:lang w:val="en-US"/>
        </w:rPr>
        <w:t>standard</w:t>
      </w:r>
      <w:r>
        <w:rPr>
          <w:rFonts w:ascii="Arial" w:hAnsi="Arial" w:cs="Arial"/>
          <w:sz w:val="22"/>
          <w:szCs w:val="22"/>
          <w:lang w:val="en-US"/>
        </w:rPr>
        <w:t>]x1000, where X is the element, H is the mass of the rare heavy isotope, and R ratio (</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perscript"/>
          <w:lang w:val="en-US"/>
        </w:rPr>
        <w:t>12</w:t>
      </w:r>
      <w:r>
        <w:rPr>
          <w:rFonts w:ascii="Arial" w:hAnsi="Arial" w:cs="Arial"/>
          <w:sz w:val="22"/>
          <w:szCs w:val="22"/>
          <w:lang w:val="en-US"/>
        </w:rPr>
        <w:t xml:space="preserve">C or </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perscript"/>
          <w:lang w:val="en-US"/>
        </w:rPr>
        <w:t>16</w:t>
      </w:r>
      <w:r>
        <w:rPr>
          <w:rFonts w:ascii="Arial" w:hAnsi="Arial" w:cs="Arial"/>
          <w:sz w:val="22"/>
          <w:szCs w:val="22"/>
          <w:lang w:val="en-US"/>
        </w:rPr>
        <w:t>O). δ</w:t>
      </w:r>
      <w:r>
        <w:rPr>
          <w:rFonts w:ascii="Arial" w:hAnsi="Arial" w:cs="Arial"/>
          <w:sz w:val="22"/>
          <w:szCs w:val="22"/>
          <w:vertAlign w:val="superscript"/>
          <w:lang w:val="en-US"/>
        </w:rPr>
        <w:t>13</w:t>
      </w:r>
      <w:r>
        <w:rPr>
          <w:rFonts w:ascii="Arial" w:hAnsi="Arial" w:cs="Arial"/>
          <w:sz w:val="22"/>
          <w:szCs w:val="22"/>
          <w:lang w:val="en-US"/>
        </w:rPr>
        <w:t>C and δ</w:t>
      </w:r>
      <w:r>
        <w:rPr>
          <w:rFonts w:ascii="Arial" w:hAnsi="Arial" w:cs="Arial"/>
          <w:sz w:val="22"/>
          <w:szCs w:val="22"/>
          <w:vertAlign w:val="superscript"/>
          <w:lang w:val="en-US"/>
        </w:rPr>
        <w:t>18</w:t>
      </w:r>
      <w:r>
        <w:rPr>
          <w:rFonts w:ascii="Arial" w:hAnsi="Arial" w:cs="Arial"/>
          <w:sz w:val="22"/>
          <w:szCs w:val="22"/>
          <w:lang w:val="en-US"/>
        </w:rPr>
        <w:t>O values are expressed using the Vienna-Pee Dee Belemnite (VPDB) standard, with δ</w:t>
      </w:r>
      <w:r>
        <w:rPr>
          <w:rFonts w:ascii="Arial" w:hAnsi="Arial" w:cs="Arial"/>
          <w:sz w:val="22"/>
          <w:szCs w:val="22"/>
          <w:vertAlign w:val="superscript"/>
          <w:lang w:val="en-US"/>
        </w:rPr>
        <w:t>18</w:t>
      </w:r>
      <w:r>
        <w:rPr>
          <w:rFonts w:ascii="Arial" w:hAnsi="Arial" w:cs="Arial"/>
          <w:sz w:val="22"/>
          <w:szCs w:val="22"/>
          <w:lang w:val="en-US"/>
        </w:rPr>
        <w:t>O also converted to the Vienna Standard Mean Ocean Water (VSMOW) scale using the formula: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SMOW</w:t>
      </w:r>
      <w:r>
        <w:rPr>
          <w:rFonts w:ascii="Arial" w:hAnsi="Arial" w:cs="Arial"/>
          <w:sz w:val="22"/>
          <w:szCs w:val="22"/>
          <w:lang w:val="en-US"/>
        </w:rPr>
        <w:t xml:space="preserve"> = (1.0309 x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VPDB</w:t>
      </w:r>
      <w:r>
        <w:rPr>
          <w:rFonts w:ascii="Arial" w:hAnsi="Arial" w:cs="Arial"/>
          <w:sz w:val="22"/>
          <w:szCs w:val="22"/>
          <w:lang w:val="en-US"/>
        </w:rPr>
        <w:t>) + 30.909.</w:t>
      </w:r>
    </w:p>
    <w:p w14:paraId="1D3BE16A">
      <w:pPr>
        <w:spacing w:line="480" w:lineRule="auto"/>
        <w:ind w:firstLine="567"/>
        <w:rPr>
          <w:rFonts w:ascii="Arial" w:hAnsi="Arial" w:cs="Arial"/>
          <w:sz w:val="22"/>
          <w:szCs w:val="22"/>
          <w:lang w:val="en-US"/>
        </w:rPr>
      </w:pPr>
      <w:r>
        <w:rPr>
          <w:rFonts w:ascii="Arial" w:hAnsi="Arial" w:cs="Arial"/>
          <w:sz w:val="22"/>
          <w:szCs w:val="22"/>
          <w:lang w:val="en-US"/>
        </w:rPr>
        <w:t xml:space="preserve">We applied the equation </w:t>
      </w:r>
      <w:r>
        <w:rPr>
          <w:rFonts w:ascii="Arial" w:hAnsi="Arial" w:cs="Arial"/>
          <w:i/>
          <w:iCs/>
          <w:sz w:val="22"/>
          <w:szCs w:val="22"/>
          <w:lang w:val="en-US"/>
        </w:rPr>
        <w:t>Ɛ</w:t>
      </w:r>
      <w:r>
        <w:rPr>
          <w:rFonts w:ascii="Arial" w:hAnsi="Arial" w:cs="Arial"/>
          <w:sz w:val="22"/>
          <w:szCs w:val="22"/>
          <w:vertAlign w:val="superscript"/>
          <w:lang w:val="en-US"/>
        </w:rPr>
        <w:sym w:font="Symbol" w:char="F02A"/>
      </w:r>
      <w:r>
        <w:rPr>
          <w:rFonts w:ascii="Arial" w:hAnsi="Arial" w:cs="Arial"/>
          <w:sz w:val="22"/>
          <w:szCs w:val="22"/>
          <w:lang w:val="en-US"/>
        </w:rPr>
        <w:t xml:space="preserve"> = 2.4 + 0.034 (bm) to calculate the most appropriate bioapatite enrichment according to the body mass (Tejada-Lara et al. 2018). Thus, an enrichment value of +15 ‰ (</w:t>
      </w:r>
      <w:r>
        <w:rPr>
          <w:rFonts w:ascii="Arial" w:hAnsi="Arial" w:cs="Arial"/>
          <w:i/>
          <w:iCs/>
          <w:sz w:val="22"/>
          <w:szCs w:val="22"/>
          <w:lang w:val="en-US"/>
        </w:rPr>
        <w:t>Ɛ</w:t>
      </w:r>
      <w:r>
        <w:rPr>
          <w:rFonts w:ascii="Arial" w:hAnsi="Arial" w:cs="Arial"/>
          <w:i/>
          <w:iCs/>
          <w:sz w:val="22"/>
          <w:szCs w:val="22"/>
          <w:vertAlign w:val="superscript"/>
          <w:lang w:val="en-US"/>
        </w:rPr>
        <w:sym w:font="Symbol" w:char="F02A"/>
      </w:r>
      <w:r>
        <w:rPr>
          <w:rFonts w:ascii="Arial" w:hAnsi="Arial" w:cs="Arial"/>
          <w:sz w:val="22"/>
          <w:szCs w:val="22"/>
          <w:vertAlign w:val="subscript"/>
          <w:lang w:val="en-US"/>
        </w:rPr>
        <w:t>diet-bioapatite</w:t>
      </w:r>
      <w:r>
        <w:rPr>
          <w:rFonts w:ascii="Arial" w:hAnsi="Arial" w:cs="Arial"/>
          <w:sz w:val="22"/>
          <w:szCs w:val="22"/>
          <w:lang w:val="en-US"/>
        </w:rPr>
        <w:t xml:space="preserve">) was used for gomphotheres (Asevedo et al. 2021), based on the body mass of 6 tons as previously estimated for </w:t>
      </w:r>
      <w:r>
        <w:rPr>
          <w:rFonts w:ascii="Arial" w:hAnsi="Arial" w:cs="Arial"/>
          <w:i/>
          <w:iCs/>
          <w:sz w:val="22"/>
          <w:szCs w:val="22"/>
          <w:lang w:val="en-US"/>
        </w:rPr>
        <w:t>N. platensis</w:t>
      </w:r>
      <w:r>
        <w:rPr>
          <w:rFonts w:ascii="Arial" w:hAnsi="Arial" w:cs="Arial"/>
          <w:sz w:val="22"/>
          <w:szCs w:val="22"/>
          <w:lang w:val="en-US"/>
        </w:rPr>
        <w:t xml:space="preserve"> individuals (Dantas et al. 2020). Also, we derived an estimated value of plants consumed (theoretical) by mammals from diet-to-tissue trophic discrimination studies (Table S3). </w:t>
      </w:r>
    </w:p>
    <w:p w14:paraId="1D4373F4">
      <w:pPr>
        <w:spacing w:line="480" w:lineRule="auto"/>
        <w:ind w:firstLine="708"/>
        <w:rPr>
          <w:rFonts w:ascii="Arial" w:hAnsi="Arial" w:cs="Arial"/>
          <w:sz w:val="22"/>
          <w:szCs w:val="22"/>
          <w:lang w:val="en-US"/>
        </w:rPr>
      </w:pPr>
      <w:r>
        <w:rPr>
          <w:rFonts w:ascii="Arial" w:hAnsi="Arial" w:cs="Arial"/>
          <w:sz w:val="22"/>
          <w:szCs w:val="22"/>
          <w:lang w:val="en-US"/>
        </w:rPr>
        <w:t>Considering the δ</w:t>
      </w:r>
      <w:r>
        <w:rPr>
          <w:rFonts w:ascii="Arial" w:hAnsi="Arial" w:cs="Arial"/>
          <w:sz w:val="22"/>
          <w:szCs w:val="22"/>
          <w:vertAlign w:val="superscript"/>
          <w:lang w:val="en-US"/>
        </w:rPr>
        <w:t>13</w:t>
      </w:r>
      <w:r>
        <w:rPr>
          <w:rFonts w:ascii="Arial" w:hAnsi="Arial" w:cs="Arial"/>
          <w:sz w:val="22"/>
          <w:szCs w:val="22"/>
          <w:lang w:val="en-US"/>
        </w:rPr>
        <w:t>C for the Late Pleistocene atmospheric CO</w:t>
      </w:r>
      <w:r>
        <w:rPr>
          <w:rFonts w:ascii="Arial" w:hAnsi="Arial" w:cs="Arial"/>
          <w:sz w:val="22"/>
          <w:szCs w:val="22"/>
          <w:vertAlign w:val="subscript"/>
          <w:lang w:val="en-US"/>
        </w:rPr>
        <w:t>2</w:t>
      </w:r>
      <w:r>
        <w:rPr>
          <w:rFonts w:ascii="Arial" w:hAnsi="Arial" w:cs="Arial"/>
          <w:sz w:val="22"/>
          <w:szCs w:val="22"/>
          <w:lang w:val="en-US"/>
        </w:rPr>
        <w:t xml:space="preserve"> (δ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atmCO2</w:t>
      </w:r>
      <w:r>
        <w:rPr>
          <w:rFonts w:ascii="Arial" w:hAnsi="Arial" w:cs="Arial"/>
          <w:sz w:val="22"/>
          <w:szCs w:val="22"/>
          <w:lang w:val="en-US"/>
        </w:rPr>
        <w:t xml:space="preserve"> of </w:t>
      </w:r>
      <w:r>
        <w:rPr>
          <w:rFonts w:ascii="Arial" w:hAnsi="Arial" w:cs="Arial"/>
          <w:bCs/>
          <w:sz w:val="22"/>
          <w:szCs w:val="22"/>
          <w:lang w:val="en-US"/>
        </w:rPr>
        <w:t>−</w:t>
      </w:r>
      <w:r>
        <w:rPr>
          <w:rFonts w:ascii="Arial" w:hAnsi="Arial" w:cs="Arial"/>
          <w:sz w:val="22"/>
          <w:szCs w:val="22"/>
          <w:lang w:val="en-US"/>
        </w:rPr>
        <w:t>6.5 ‰; Tipple et al. 2010), we could discriminate the phytodomains of gomphothere habitats following Domingo et al. (2012): (i) Mesic/woodland (–13.5 to –8.5 ‰), (ii) wooded C</w:t>
      </w:r>
      <w:r>
        <w:rPr>
          <w:rFonts w:ascii="Arial" w:hAnsi="Arial" w:cs="Arial"/>
          <w:sz w:val="22"/>
          <w:szCs w:val="22"/>
          <w:vertAlign w:val="subscript"/>
          <w:lang w:val="en-US"/>
        </w:rPr>
        <w:t>3</w:t>
      </w:r>
      <w:r>
        <w:rPr>
          <w:rFonts w:ascii="Arial" w:hAnsi="Arial" w:cs="Arial"/>
          <w:sz w:val="22"/>
          <w:szCs w:val="22"/>
          <w:lang w:val="en-US"/>
        </w:rPr>
        <w:t xml:space="preserve"> grassland to open, and arid C</w:t>
      </w:r>
      <w:r>
        <w:rPr>
          <w:rFonts w:ascii="Arial" w:hAnsi="Arial" w:cs="Arial"/>
          <w:sz w:val="22"/>
          <w:szCs w:val="22"/>
          <w:vertAlign w:val="subscript"/>
          <w:lang w:val="en-US"/>
        </w:rPr>
        <w:t>3</w:t>
      </w:r>
      <w:r>
        <w:rPr>
          <w:rFonts w:ascii="Arial" w:hAnsi="Arial" w:cs="Arial"/>
          <w:sz w:val="22"/>
          <w:szCs w:val="22"/>
          <w:lang w:val="en-US"/>
        </w:rPr>
        <w:t xml:space="preserve"> grassland (–8.5 to –5.5 ‰), (iii) open vegetation area C</w:t>
      </w:r>
      <w:r>
        <w:rPr>
          <w:rFonts w:ascii="Arial" w:hAnsi="Arial" w:cs="Arial"/>
          <w:sz w:val="22"/>
          <w:szCs w:val="22"/>
          <w:vertAlign w:val="subscript"/>
          <w:lang w:val="en-US"/>
        </w:rPr>
        <w:t>3</w:t>
      </w:r>
      <w:r>
        <w:rPr>
          <w:rFonts w:ascii="Arial" w:hAnsi="Arial" w:cs="Arial"/>
          <w:sz w:val="22"/>
          <w:szCs w:val="22"/>
          <w:lang w:val="en-US"/>
        </w:rPr>
        <w:t>-C</w:t>
      </w:r>
      <w:r>
        <w:rPr>
          <w:rFonts w:ascii="Arial" w:hAnsi="Arial" w:cs="Arial"/>
          <w:sz w:val="22"/>
          <w:szCs w:val="22"/>
          <w:vertAlign w:val="subscript"/>
          <w:lang w:val="en-US"/>
        </w:rPr>
        <w:t>4</w:t>
      </w:r>
      <w:r>
        <w:rPr>
          <w:rFonts w:ascii="Arial" w:hAnsi="Arial" w:cs="Arial"/>
          <w:sz w:val="22"/>
          <w:szCs w:val="22"/>
          <w:lang w:val="en-US"/>
        </w:rPr>
        <w:t xml:space="preserve"> (–5.5 to –0.5 ‰), and open C</w:t>
      </w:r>
      <w:r>
        <w:rPr>
          <w:rFonts w:ascii="Arial" w:hAnsi="Arial" w:cs="Arial"/>
          <w:sz w:val="22"/>
          <w:szCs w:val="22"/>
          <w:vertAlign w:val="subscript"/>
          <w:lang w:val="en-US"/>
        </w:rPr>
        <w:t>4</w:t>
      </w:r>
      <w:r>
        <w:rPr>
          <w:rFonts w:ascii="Arial" w:hAnsi="Arial" w:cs="Arial"/>
          <w:sz w:val="22"/>
          <w:szCs w:val="22"/>
          <w:lang w:val="en-US"/>
        </w:rPr>
        <w:t xml:space="preserve"> grassland (–0.5 to +7.5 ‰). </w:t>
      </w:r>
    </w:p>
    <w:p w14:paraId="3FC42651">
      <w:pPr>
        <w:spacing w:line="480" w:lineRule="auto"/>
        <w:ind w:right="-1" w:firstLine="567"/>
        <w:rPr>
          <w:rFonts w:ascii="Arial" w:hAnsi="Arial" w:cs="Arial"/>
          <w:i/>
          <w:sz w:val="22"/>
          <w:szCs w:val="22"/>
          <w:vertAlign w:val="subscript"/>
          <w:lang w:val="en-US"/>
        </w:rPr>
      </w:pPr>
      <w:r>
        <w:rPr>
          <w:rFonts w:ascii="Arial" w:hAnsi="Arial" w:cs="Arial"/>
          <w:sz w:val="22"/>
          <w:szCs w:val="22"/>
          <w:lang w:val="en-US" w:eastAsia="pt-BR"/>
        </w:rPr>
        <w:t xml:space="preserve">Following </w:t>
      </w:r>
      <w:r>
        <w:rPr>
          <w:rFonts w:ascii="Arial" w:hAnsi="Arial" w:cs="Arial"/>
          <w:sz w:val="22"/>
          <w:szCs w:val="22"/>
          <w:lang w:val="en-US"/>
        </w:rPr>
        <w:t xml:space="preserve">Phillips (2012), </w:t>
      </w:r>
      <w:r>
        <w:rPr>
          <w:rFonts w:ascii="Arial" w:hAnsi="Arial" w:cs="Arial"/>
          <w:sz w:val="22"/>
          <w:szCs w:val="22"/>
          <w:lang w:val="en-US" w:eastAsia="pt-BR"/>
        </w:rPr>
        <w:t xml:space="preserve">a </w:t>
      </w:r>
      <w:r>
        <w:rPr>
          <w:rFonts w:ascii="Arial" w:hAnsi="Arial" w:cs="Arial"/>
          <w:sz w:val="22"/>
          <w:szCs w:val="22"/>
          <w:lang w:val="en-US"/>
        </w:rPr>
        <w:t>mixing model using the δ</w:t>
      </w:r>
      <w:r>
        <w:rPr>
          <w:rFonts w:ascii="Arial" w:hAnsi="Arial" w:cs="Arial"/>
          <w:sz w:val="22"/>
          <w:szCs w:val="22"/>
          <w:vertAlign w:val="superscript"/>
          <w:lang w:val="en-US"/>
        </w:rPr>
        <w:t>13</w:t>
      </w:r>
      <w:r>
        <w:rPr>
          <w:rFonts w:ascii="Arial" w:hAnsi="Arial" w:cs="Arial"/>
          <w:sz w:val="22"/>
          <w:szCs w:val="22"/>
          <w:lang w:val="en-US"/>
        </w:rPr>
        <w:t>C data was used to estimate the proportions of C</w:t>
      </w:r>
      <w:r>
        <w:rPr>
          <w:rFonts w:ascii="Arial" w:hAnsi="Arial" w:cs="Arial"/>
          <w:sz w:val="22"/>
          <w:szCs w:val="22"/>
          <w:vertAlign w:val="subscript"/>
          <w:lang w:val="en-US"/>
        </w:rPr>
        <w:t>3</w:t>
      </w:r>
      <w:r>
        <w:rPr>
          <w:rFonts w:ascii="Arial" w:hAnsi="Arial" w:cs="Arial"/>
          <w:sz w:val="22"/>
          <w:szCs w:val="22"/>
          <w:lang w:val="en-US"/>
        </w:rPr>
        <w:t xml:space="preserve"> and C</w:t>
      </w:r>
      <w:r>
        <w:rPr>
          <w:rFonts w:ascii="Arial" w:hAnsi="Arial" w:cs="Arial"/>
          <w:sz w:val="22"/>
          <w:szCs w:val="22"/>
          <w:vertAlign w:val="subscript"/>
          <w:lang w:val="en-US"/>
        </w:rPr>
        <w:t>4</w:t>
      </w:r>
      <w:r>
        <w:rPr>
          <w:rFonts w:ascii="Arial" w:hAnsi="Arial" w:cs="Arial"/>
          <w:sz w:val="22"/>
          <w:szCs w:val="22"/>
          <w:lang w:val="en-US"/>
        </w:rPr>
        <w:t xml:space="preserve"> plants consumed by each specimen. In equations 1 and 2, 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 xml:space="preserve">1 </w:t>
      </w:r>
      <w:r>
        <w:rPr>
          <w:rFonts w:ascii="Arial" w:hAnsi="Arial" w:cs="Arial"/>
          <w:sz w:val="22"/>
          <w:szCs w:val="22"/>
          <w:lang w:val="en-US"/>
        </w:rPr>
        <w:t>=</w:t>
      </w:r>
      <w:r>
        <w:rPr>
          <w:rFonts w:ascii="Arial" w:hAnsi="Arial" w:cs="Arial"/>
          <w:b/>
          <w:bCs/>
          <w:sz w:val="22"/>
          <w:szCs w:val="22"/>
          <w:lang w:val="en-US"/>
        </w:rPr>
        <w:t xml:space="preserve"> </w:t>
      </w:r>
      <w:r>
        <w:rPr>
          <w:rFonts w:ascii="Arial" w:hAnsi="Arial" w:cs="Arial"/>
          <w:sz w:val="22"/>
          <w:szCs w:val="22"/>
          <w:lang w:val="en-US"/>
        </w:rPr>
        <w:t>–10.5 ‰ (C</w:t>
      </w:r>
      <w:r>
        <w:rPr>
          <w:rFonts w:ascii="Arial" w:hAnsi="Arial" w:cs="Arial"/>
          <w:sz w:val="22"/>
          <w:szCs w:val="22"/>
          <w:vertAlign w:val="subscript"/>
          <w:lang w:val="en-US"/>
        </w:rPr>
        <w:t>3</w:t>
      </w:r>
      <w:r>
        <w:rPr>
          <w:rFonts w:ascii="Arial" w:hAnsi="Arial" w:cs="Arial"/>
          <w:sz w:val="22"/>
          <w:szCs w:val="22"/>
          <w:lang w:val="en-US"/>
        </w:rPr>
        <w:t xml:space="preserve">) and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 xml:space="preserve">2 </w:t>
      </w:r>
      <w:r>
        <w:rPr>
          <w:rFonts w:ascii="Arial" w:hAnsi="Arial" w:cs="Arial"/>
          <w:sz w:val="22"/>
          <w:szCs w:val="22"/>
          <w:lang w:val="en-US"/>
        </w:rPr>
        <w:t>= +3.5 ‰ (C</w:t>
      </w:r>
      <w:r>
        <w:rPr>
          <w:rFonts w:ascii="Arial" w:hAnsi="Arial" w:cs="Arial"/>
          <w:sz w:val="22"/>
          <w:szCs w:val="22"/>
          <w:vertAlign w:val="subscript"/>
          <w:lang w:val="en-US"/>
        </w:rPr>
        <w:t>4</w:t>
      </w:r>
      <w:r>
        <w:rPr>
          <w:rFonts w:ascii="Arial" w:hAnsi="Arial" w:cs="Arial"/>
          <w:sz w:val="22"/>
          <w:szCs w:val="22"/>
          <w:lang w:val="en-US"/>
        </w:rPr>
        <w:t xml:space="preserve">) </w:t>
      </w:r>
      <w:r>
        <w:rPr>
          <w:shd w:val="clear" w:color="auto" w:fill="FFFFFF"/>
          <w:lang w:val="en-US"/>
        </w:rPr>
        <w:t xml:space="preserve">represents the </w:t>
      </w:r>
      <w:r>
        <w:rPr>
          <w:lang w:val="en-US"/>
        </w:rPr>
        <w:t xml:space="preserve">mean </w:t>
      </w:r>
      <w:r>
        <w:rPr>
          <w:rFonts w:ascii="Arial" w:hAnsi="Arial" w:cs="Arial"/>
        </w:rPr>
        <w:t>δ</w:t>
      </w:r>
      <w:r>
        <w:rPr>
          <w:vertAlign w:val="superscript"/>
          <w:lang w:val="en-US"/>
        </w:rPr>
        <w:t>13</w:t>
      </w:r>
      <w:r>
        <w:rPr>
          <w:lang w:val="en-US"/>
        </w:rPr>
        <w:t>C values of C</w:t>
      </w:r>
      <w:r>
        <w:rPr>
          <w:vertAlign w:val="subscript"/>
          <w:lang w:val="en-US"/>
        </w:rPr>
        <w:t>3</w:t>
      </w:r>
      <w:r>
        <w:rPr>
          <w:lang w:val="en-US"/>
        </w:rPr>
        <w:t xml:space="preserve"> and C</w:t>
      </w:r>
      <w:r>
        <w:rPr>
          <w:vertAlign w:val="subscript"/>
          <w:lang w:val="en-US"/>
        </w:rPr>
        <w:t xml:space="preserve">4 </w:t>
      </w:r>
      <w:r>
        <w:rPr>
          <w:rFonts w:ascii="Arial" w:hAnsi="Arial" w:cs="Arial"/>
          <w:sz w:val="22"/>
          <w:szCs w:val="22"/>
          <w:lang w:val="en-US"/>
        </w:rPr>
        <w:t>plant consumers (</w:t>
      </w:r>
      <w:r>
        <w:rPr>
          <w:rFonts w:ascii="Arial" w:hAnsi="Arial" w:cs="Arial"/>
          <w:iCs/>
          <w:sz w:val="22"/>
          <w:szCs w:val="22"/>
          <w:lang w:val="en-US"/>
        </w:rPr>
        <w:t>Ɛ</w:t>
      </w:r>
      <w:r>
        <w:rPr>
          <w:rFonts w:ascii="Arial" w:hAnsi="Arial" w:cs="Arial"/>
          <w:sz w:val="22"/>
          <w:szCs w:val="22"/>
          <w:lang w:val="en-US"/>
        </w:rPr>
        <w:t xml:space="preserve">* </w:t>
      </w:r>
      <w:r>
        <w:rPr>
          <w:rFonts w:ascii="Arial" w:hAnsi="Arial" w:cs="Arial"/>
          <w:sz w:val="22"/>
          <w:szCs w:val="22"/>
          <w:vertAlign w:val="subscript"/>
          <w:lang w:val="en-US"/>
        </w:rPr>
        <w:t xml:space="preserve">bioapatite-diet </w:t>
      </w:r>
      <w:r>
        <w:rPr>
          <w:rFonts w:ascii="Arial" w:hAnsi="Arial" w:cs="Arial"/>
          <w:sz w:val="22"/>
          <w:szCs w:val="22"/>
          <w:lang w:val="en-US"/>
        </w:rPr>
        <w:t xml:space="preserve">= +15 ‰). </w:t>
      </w:r>
      <w:r>
        <w:rPr>
          <w:rFonts w:ascii="Arial" w:hAnsi="Arial" w:cs="Arial"/>
          <w:iCs/>
          <w:sz w:val="22"/>
          <w:szCs w:val="22"/>
        </w:rPr>
        <w:t>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 xml:space="preserve">mix </w:t>
      </w:r>
      <w:r>
        <w:rPr>
          <w:rFonts w:ascii="Arial" w:hAnsi="Arial" w:cs="Arial"/>
          <w:sz w:val="22"/>
          <w:szCs w:val="22"/>
          <w:lang w:val="en-US"/>
        </w:rPr>
        <w:t xml:space="preserve">is the measured value for </w:t>
      </w:r>
      <w:r>
        <w:rPr>
          <w:rFonts w:ascii="Arial" w:hAnsi="Arial" w:cs="Arial"/>
          <w:iCs/>
          <w:sz w:val="22"/>
          <w:szCs w:val="22"/>
          <w:lang w:val="en-US"/>
        </w:rPr>
        <w:t xml:space="preserve">the gomphotheres, and </w:t>
      </w:r>
      <w:r>
        <w:rPr>
          <w:rFonts w:ascii="Arial" w:hAnsi="Arial" w:cs="Arial"/>
          <w:i/>
          <w:sz w:val="22"/>
          <w:szCs w:val="22"/>
          <w:lang w:val="en-US"/>
        </w:rPr>
        <w:t>f</w:t>
      </w:r>
      <w:r>
        <w:rPr>
          <w:rFonts w:ascii="Arial" w:hAnsi="Arial" w:cs="Arial"/>
          <w:i/>
          <w:sz w:val="22"/>
          <w:szCs w:val="22"/>
          <w:vertAlign w:val="subscript"/>
          <w:lang w:val="en-US"/>
        </w:rPr>
        <w:t xml:space="preserve">1 </w:t>
      </w:r>
      <w:r>
        <w:rPr>
          <w:rFonts w:ascii="Arial" w:hAnsi="Arial" w:cs="Arial"/>
          <w:sz w:val="22"/>
          <w:szCs w:val="22"/>
          <w:lang w:val="en-US"/>
        </w:rPr>
        <w:t xml:space="preserve">and </w:t>
      </w:r>
      <w:r>
        <w:rPr>
          <w:rFonts w:ascii="Arial" w:hAnsi="Arial" w:cs="Arial"/>
          <w:i/>
          <w:sz w:val="22"/>
          <w:szCs w:val="22"/>
          <w:lang w:val="en-US"/>
        </w:rPr>
        <w:t>f</w:t>
      </w:r>
      <w:r>
        <w:rPr>
          <w:rFonts w:ascii="Arial" w:hAnsi="Arial" w:cs="Arial"/>
          <w:i/>
          <w:sz w:val="22"/>
          <w:szCs w:val="22"/>
          <w:vertAlign w:val="subscript"/>
          <w:lang w:val="en-US"/>
        </w:rPr>
        <w:t>2</w:t>
      </w:r>
      <w:r>
        <w:rPr>
          <w:rFonts w:ascii="Arial" w:hAnsi="Arial" w:cs="Arial"/>
          <w:sz w:val="22"/>
          <w:szCs w:val="22"/>
          <w:lang w:val="en-US"/>
        </w:rPr>
        <w:t xml:space="preserve"> are the proportion of C</w:t>
      </w:r>
      <w:r>
        <w:rPr>
          <w:rFonts w:ascii="Arial" w:hAnsi="Arial" w:cs="Arial"/>
          <w:sz w:val="22"/>
          <w:szCs w:val="22"/>
          <w:vertAlign w:val="subscript"/>
          <w:lang w:val="en-US"/>
        </w:rPr>
        <w:t>3</w:t>
      </w:r>
      <w:r>
        <w:rPr>
          <w:rFonts w:ascii="Arial" w:hAnsi="Arial" w:cs="Arial"/>
          <w:sz w:val="22"/>
          <w:szCs w:val="22"/>
          <w:lang w:val="en-US"/>
        </w:rPr>
        <w:t xml:space="preserve"> and C</w:t>
      </w:r>
      <w:r>
        <w:rPr>
          <w:rFonts w:ascii="Arial" w:hAnsi="Arial" w:cs="Arial"/>
          <w:sz w:val="22"/>
          <w:szCs w:val="22"/>
          <w:vertAlign w:val="subscript"/>
          <w:lang w:val="en-US"/>
        </w:rPr>
        <w:t>4</w:t>
      </w:r>
      <w:r>
        <w:rPr>
          <w:rFonts w:ascii="Arial" w:hAnsi="Arial" w:cs="Arial"/>
          <w:sz w:val="22"/>
          <w:szCs w:val="22"/>
          <w:lang w:val="en-US"/>
        </w:rPr>
        <w:t xml:space="preserve"> resources in the diet, respectively.</w:t>
      </w:r>
    </w:p>
    <w:p w14:paraId="62FEC0A0">
      <w:pPr>
        <w:spacing w:line="480" w:lineRule="auto"/>
        <w:ind w:right="-1"/>
        <w:rPr>
          <w:rFonts w:ascii="Arial" w:hAnsi="Arial" w:cs="Arial"/>
          <w:i/>
          <w:sz w:val="22"/>
          <w:szCs w:val="22"/>
          <w:vertAlign w:val="subscript"/>
          <w:lang w:val="en-US"/>
        </w:rPr>
      </w:pPr>
      <w:r>
        <w:rPr>
          <w:rFonts w:ascii="Arial" w:hAnsi="Arial" w:cs="Arial"/>
          <w:sz w:val="22"/>
          <w:szCs w:val="22"/>
          <w:lang w:val="en-US"/>
        </w:rPr>
        <w:t xml:space="preserve">(1) </w:t>
      </w:r>
      <w:r>
        <w:rPr>
          <w:rFonts w:ascii="Arial" w:hAnsi="Arial" w:cs="Arial"/>
          <w:i/>
          <w:sz w:val="22"/>
          <w:szCs w:val="22"/>
        </w:rPr>
        <w:t>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 xml:space="preserve">mix </w:t>
      </w:r>
      <w:r>
        <w:rPr>
          <w:rFonts w:ascii="Arial" w:hAnsi="Arial" w:cs="Arial"/>
          <w:sz w:val="22"/>
          <w:szCs w:val="22"/>
          <w:lang w:val="en-US"/>
        </w:rPr>
        <w:t xml:space="preserve">= </w:t>
      </w:r>
      <w:r>
        <w:rPr>
          <w:rFonts w:ascii="Arial" w:hAnsi="Arial" w:cs="Arial"/>
          <w:i/>
          <w:sz w:val="22"/>
          <w:szCs w:val="22"/>
        </w:rPr>
        <w:t>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1</w:t>
      </w:r>
      <w:r>
        <w:rPr>
          <w:rFonts w:ascii="Arial" w:hAnsi="Arial" w:cs="Arial"/>
          <w:i/>
          <w:sz w:val="22"/>
          <w:szCs w:val="22"/>
          <w:lang w:val="en-US"/>
        </w:rPr>
        <w:t>f</w:t>
      </w:r>
      <w:r>
        <w:rPr>
          <w:rFonts w:ascii="Arial" w:hAnsi="Arial" w:cs="Arial"/>
          <w:i/>
          <w:sz w:val="22"/>
          <w:szCs w:val="22"/>
          <w:vertAlign w:val="subscript"/>
          <w:lang w:val="en-US"/>
        </w:rPr>
        <w:t>1</w:t>
      </w:r>
      <w:r>
        <w:rPr>
          <w:rFonts w:ascii="Arial" w:hAnsi="Arial" w:cs="Arial"/>
          <w:sz w:val="22"/>
          <w:szCs w:val="22"/>
          <w:lang w:val="en-US"/>
        </w:rPr>
        <w:t xml:space="preserve">+ </w:t>
      </w:r>
      <w:r>
        <w:rPr>
          <w:rFonts w:ascii="Arial" w:hAnsi="Arial" w:cs="Arial"/>
          <w:i/>
          <w:sz w:val="22"/>
          <w:szCs w:val="22"/>
        </w:rPr>
        <w:t>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2</w:t>
      </w:r>
      <w:r>
        <w:rPr>
          <w:rFonts w:ascii="Arial" w:hAnsi="Arial" w:cs="Arial"/>
          <w:i/>
          <w:sz w:val="22"/>
          <w:szCs w:val="22"/>
          <w:lang w:val="en-US"/>
        </w:rPr>
        <w:t>f</w:t>
      </w:r>
      <w:r>
        <w:rPr>
          <w:rFonts w:ascii="Arial" w:hAnsi="Arial" w:cs="Arial"/>
          <w:i/>
          <w:sz w:val="22"/>
          <w:szCs w:val="22"/>
          <w:vertAlign w:val="subscript"/>
          <w:lang w:val="en-US"/>
        </w:rPr>
        <w:t>2</w:t>
      </w:r>
    </w:p>
    <w:p w14:paraId="623093BD">
      <w:pPr>
        <w:spacing w:line="480" w:lineRule="auto"/>
        <w:ind w:right="-1"/>
        <w:rPr>
          <w:rFonts w:ascii="Arial" w:hAnsi="Arial" w:cs="Arial"/>
          <w:i/>
          <w:sz w:val="22"/>
          <w:szCs w:val="22"/>
          <w:lang w:val="en-US"/>
        </w:rPr>
      </w:pPr>
      <w:r>
        <w:rPr>
          <w:rFonts w:ascii="Arial" w:hAnsi="Arial" w:cs="Arial"/>
          <w:sz w:val="22"/>
          <w:szCs w:val="22"/>
          <w:lang w:val="en-US"/>
        </w:rPr>
        <w:t xml:space="preserve">(2) 1 = </w:t>
      </w:r>
      <w:r>
        <w:rPr>
          <w:rFonts w:ascii="Arial" w:hAnsi="Arial" w:cs="Arial"/>
          <w:i/>
          <w:sz w:val="22"/>
          <w:szCs w:val="22"/>
          <w:lang w:val="en-US"/>
        </w:rPr>
        <w:t>f</w:t>
      </w:r>
      <w:r>
        <w:rPr>
          <w:rFonts w:ascii="Arial" w:hAnsi="Arial" w:cs="Arial"/>
          <w:i/>
          <w:sz w:val="22"/>
          <w:szCs w:val="22"/>
          <w:vertAlign w:val="subscript"/>
          <w:lang w:val="en-US"/>
        </w:rPr>
        <w:t>1</w:t>
      </w:r>
      <w:r>
        <w:rPr>
          <w:rFonts w:ascii="Arial" w:hAnsi="Arial" w:cs="Arial"/>
          <w:sz w:val="22"/>
          <w:szCs w:val="22"/>
          <w:lang w:val="en-US"/>
        </w:rPr>
        <w:t xml:space="preserve">+ </w:t>
      </w:r>
      <w:r>
        <w:rPr>
          <w:rFonts w:ascii="Arial" w:hAnsi="Arial" w:cs="Arial"/>
          <w:i/>
          <w:sz w:val="22"/>
          <w:szCs w:val="22"/>
          <w:lang w:val="en-US"/>
        </w:rPr>
        <w:t>f</w:t>
      </w:r>
      <w:r>
        <w:rPr>
          <w:rFonts w:ascii="Arial" w:hAnsi="Arial" w:cs="Arial"/>
          <w:i/>
          <w:sz w:val="22"/>
          <w:szCs w:val="22"/>
          <w:vertAlign w:val="subscript"/>
          <w:lang w:val="en-US"/>
        </w:rPr>
        <w:t>2</w:t>
      </w:r>
      <w:r>
        <w:rPr>
          <w:rFonts w:ascii="Arial" w:hAnsi="Arial" w:cs="Arial"/>
          <w:iCs/>
          <w:sz w:val="22"/>
          <w:szCs w:val="22"/>
          <w:lang w:val="en-US"/>
        </w:rPr>
        <w:t>,</w:t>
      </w:r>
    </w:p>
    <w:p w14:paraId="7CA09CC9">
      <w:pPr>
        <w:spacing w:line="480" w:lineRule="auto"/>
        <w:ind w:firstLine="567"/>
        <w:rPr>
          <w:rFonts w:ascii="Arial" w:hAnsi="Arial" w:cs="Arial"/>
          <w:sz w:val="22"/>
          <w:szCs w:val="22"/>
          <w:lang w:val="en-US"/>
        </w:rPr>
      </w:pPr>
      <w:r>
        <w:rPr>
          <w:rFonts w:ascii="Arial" w:hAnsi="Arial" w:cs="Arial"/>
          <w:sz w:val="22"/>
          <w:szCs w:val="22"/>
          <w:lang w:val="en-US"/>
        </w:rPr>
        <w:t>The ecological niche breadth (</w:t>
      </w:r>
      <w:r>
        <w:rPr>
          <w:rFonts w:ascii="Arial" w:hAnsi="Arial" w:cs="Arial"/>
          <w:i/>
          <w:iCs/>
          <w:sz w:val="22"/>
          <w:szCs w:val="22"/>
          <w:lang w:val="en-US"/>
        </w:rPr>
        <w:t>B</w:t>
      </w:r>
      <w:r>
        <w:rPr>
          <w:rFonts w:ascii="Arial" w:hAnsi="Arial" w:cs="Arial"/>
          <w:sz w:val="22"/>
          <w:szCs w:val="22"/>
          <w:lang w:val="en-US"/>
        </w:rPr>
        <w:t xml:space="preserve">) was calculated following the equation of </w:t>
      </w:r>
      <w:r>
        <w:rPr>
          <w:rFonts w:ascii="Arial" w:hAnsi="Arial" w:eastAsia="Times New Roman" w:cs="Arial"/>
          <w:sz w:val="22"/>
          <w:szCs w:val="22"/>
          <w:lang w:val="en-US" w:eastAsia="pt-BR" w:bidi="pt-BR"/>
        </w:rPr>
        <w:t>Levins (1968)</w:t>
      </w:r>
      <w:r>
        <w:rPr>
          <w:rFonts w:ascii="Arial" w:hAnsi="Arial" w:cs="Arial"/>
          <w:sz w:val="22"/>
          <w:szCs w:val="22"/>
          <w:lang w:val="en-US"/>
        </w:rPr>
        <w:t xml:space="preserve">, where </w:t>
      </w:r>
      <w:r>
        <w:rPr>
          <w:rFonts w:ascii="Arial" w:hAnsi="Arial" w:cs="Arial"/>
          <w:i/>
          <w:sz w:val="22"/>
          <w:szCs w:val="22"/>
          <w:lang w:val="en-US"/>
        </w:rPr>
        <w:t>p</w:t>
      </w:r>
      <w:r>
        <w:rPr>
          <w:rFonts w:ascii="Arial" w:hAnsi="Arial" w:cs="Arial"/>
          <w:i/>
          <w:sz w:val="22"/>
          <w:szCs w:val="22"/>
          <w:vertAlign w:val="subscript"/>
          <w:lang w:val="en-US"/>
        </w:rPr>
        <w:t>i</w:t>
      </w:r>
      <w:r>
        <w:rPr>
          <w:rFonts w:ascii="Arial" w:hAnsi="Arial" w:cs="Arial"/>
          <w:sz w:val="22"/>
          <w:szCs w:val="22"/>
          <w:lang w:val="en-US"/>
        </w:rPr>
        <w:t xml:space="preserve"> is the proportion of resources consumed (equation 3).</w:t>
      </w:r>
      <w:r>
        <w:rPr>
          <w:rFonts w:ascii="Arial" w:hAnsi="Arial" w:eastAsia="Times New Roman" w:cs="Arial"/>
          <w:sz w:val="22"/>
          <w:szCs w:val="22"/>
          <w:lang w:val="en-US" w:eastAsia="pt-BR" w:bidi="pt-BR"/>
        </w:rPr>
        <w:t xml:space="preserve"> This measure was then standardized (</w:t>
      </w:r>
      <w:r>
        <w:rPr>
          <w:rFonts w:ascii="Arial" w:hAnsi="Arial" w:eastAsia="Times New Roman" w:cs="Arial"/>
          <w:i/>
          <w:sz w:val="22"/>
          <w:szCs w:val="22"/>
          <w:lang w:val="en-US" w:eastAsia="pt-BR" w:bidi="pt-BR"/>
        </w:rPr>
        <w:t>B</w:t>
      </w:r>
      <w:r>
        <w:rPr>
          <w:rFonts w:ascii="Arial" w:hAnsi="Arial" w:eastAsia="Times New Roman" w:cs="Arial"/>
          <w:i/>
          <w:sz w:val="22"/>
          <w:szCs w:val="22"/>
          <w:vertAlign w:val="subscript"/>
          <w:lang w:val="en-US" w:eastAsia="pt-BR" w:bidi="pt-BR"/>
        </w:rPr>
        <w:t>A</w:t>
      </w:r>
      <w:r>
        <w:rPr>
          <w:rFonts w:ascii="Arial" w:hAnsi="Arial" w:eastAsia="Times New Roman" w:cs="Arial"/>
          <w:sz w:val="22"/>
          <w:szCs w:val="22"/>
          <w:lang w:val="en-US" w:eastAsia="pt-BR" w:bidi="pt-BR"/>
        </w:rPr>
        <w:t xml:space="preserve">; equation 4) from 0 to 1, where </w:t>
      </w:r>
      <w:r>
        <w:rPr>
          <w:rFonts w:ascii="Arial" w:hAnsi="Arial" w:cs="Arial"/>
          <w:sz w:val="22"/>
          <w:szCs w:val="22"/>
          <w:lang w:val="en-US"/>
        </w:rPr>
        <w:t>n is the number of resources consumed.</w:t>
      </w:r>
      <w:r>
        <w:rPr>
          <w:rFonts w:ascii="Arial" w:hAnsi="Arial" w:eastAsia="Times New Roman" w:cs="Arial"/>
          <w:sz w:val="22"/>
          <w:szCs w:val="22"/>
          <w:lang w:val="en-US" w:eastAsia="pt-BR" w:bidi="pt-BR"/>
        </w:rPr>
        <w:t xml:space="preserve"> </w:t>
      </w:r>
      <w:r>
        <w:rPr>
          <w:rFonts w:ascii="Arial" w:hAnsi="Arial" w:cs="Arial"/>
          <w:sz w:val="22"/>
          <w:szCs w:val="22"/>
          <w:lang w:val="en-US"/>
        </w:rPr>
        <w:t>The results indicate if the animal is a specialist (0) or a generalist (1).</w:t>
      </w:r>
    </w:p>
    <w:p w14:paraId="38ABD723">
      <w:pPr>
        <w:spacing w:line="480" w:lineRule="auto"/>
        <w:rPr>
          <w:rFonts w:ascii="Arial" w:hAnsi="Arial" w:cs="Arial"/>
          <w:i/>
          <w:sz w:val="22"/>
          <w:szCs w:val="22"/>
          <w:lang w:val="en-US"/>
        </w:rPr>
      </w:pPr>
      <w:r>
        <w:rPr>
          <w:rFonts w:ascii="Arial" w:hAnsi="Arial" w:cs="Arial"/>
          <w:iCs/>
          <w:sz w:val="22"/>
          <w:szCs w:val="22"/>
          <w:lang w:val="en-US"/>
        </w:rPr>
        <w:t>(3)</w:t>
      </w:r>
      <w:r>
        <w:rPr>
          <w:rFonts w:ascii="Arial" w:hAnsi="Arial" w:cs="Arial"/>
          <w:i/>
          <w:sz w:val="22"/>
          <w:szCs w:val="22"/>
          <w:lang w:val="en-US"/>
        </w:rPr>
        <w:tab/>
      </w:r>
      <w:r>
        <w:rPr>
          <w:rFonts w:ascii="Arial" w:hAnsi="Arial" w:cs="Arial"/>
          <w:i/>
          <w:sz w:val="22"/>
          <w:szCs w:val="22"/>
          <w:lang w:val="en-US"/>
        </w:rPr>
        <w:t xml:space="preserve">B </w:t>
      </w:r>
      <w:r>
        <w:rPr>
          <w:rFonts w:ascii="Arial" w:hAnsi="Arial" w:cs="Arial"/>
          <w:sz w:val="22"/>
          <w:szCs w:val="22"/>
          <w:lang w:val="en-US"/>
        </w:rPr>
        <w:t>= 1/∑</w:t>
      </w:r>
      <w:r>
        <w:rPr>
          <w:rFonts w:ascii="Arial" w:hAnsi="Arial" w:cs="Arial"/>
          <w:i/>
          <w:sz w:val="22"/>
          <w:szCs w:val="22"/>
          <w:lang w:val="en-US"/>
        </w:rPr>
        <w:t>p</w:t>
      </w:r>
      <w:r>
        <w:rPr>
          <w:rFonts w:ascii="Arial" w:hAnsi="Arial" w:cs="Arial"/>
          <w:i/>
          <w:sz w:val="22"/>
          <w:szCs w:val="22"/>
          <w:vertAlign w:val="subscript"/>
          <w:lang w:val="en-US"/>
        </w:rPr>
        <w:t>i</w:t>
      </w:r>
      <w:r>
        <w:rPr>
          <w:rFonts w:ascii="Arial" w:hAnsi="Arial" w:cs="Arial"/>
          <w:sz w:val="22"/>
          <w:szCs w:val="22"/>
          <w:lang w:val="en-US"/>
        </w:rPr>
        <w:t>²,</w:t>
      </w:r>
    </w:p>
    <w:p w14:paraId="336926D1">
      <w:pPr>
        <w:spacing w:line="480" w:lineRule="auto"/>
        <w:rPr>
          <w:rFonts w:ascii="Arial" w:hAnsi="Arial" w:cs="Arial"/>
          <w:sz w:val="22"/>
          <w:szCs w:val="22"/>
          <w:lang w:val="en-US"/>
        </w:rPr>
      </w:pPr>
      <w:r>
        <w:rPr>
          <w:rFonts w:ascii="Arial" w:hAnsi="Arial" w:cs="Arial"/>
          <w:iCs/>
          <w:sz w:val="22"/>
          <w:szCs w:val="22"/>
          <w:lang w:val="en-US"/>
        </w:rPr>
        <w:t>(4)</w:t>
      </w:r>
      <w:r>
        <w:rPr>
          <w:rFonts w:ascii="Arial" w:hAnsi="Arial" w:cs="Arial"/>
          <w:iCs/>
          <w:sz w:val="22"/>
          <w:szCs w:val="22"/>
          <w:lang w:val="en-US"/>
        </w:rPr>
        <w:tab/>
      </w:r>
      <w:r>
        <w:rPr>
          <w:rFonts w:ascii="Arial" w:hAnsi="Arial" w:cs="Arial"/>
          <w:i/>
          <w:sz w:val="22"/>
          <w:szCs w:val="22"/>
          <w:lang w:val="en-US"/>
        </w:rPr>
        <w:t>B</w:t>
      </w:r>
      <w:r>
        <w:rPr>
          <w:rFonts w:ascii="Arial" w:hAnsi="Arial" w:cs="Arial"/>
          <w:i/>
          <w:sz w:val="22"/>
          <w:szCs w:val="22"/>
          <w:vertAlign w:val="subscript"/>
          <w:lang w:val="en-US"/>
        </w:rPr>
        <w:t xml:space="preserve">A </w:t>
      </w:r>
      <w:r>
        <w:rPr>
          <w:rFonts w:ascii="Arial" w:hAnsi="Arial" w:cs="Arial"/>
          <w:sz w:val="22"/>
          <w:szCs w:val="22"/>
          <w:lang w:val="en-US"/>
        </w:rPr>
        <w:t xml:space="preserve">= </w:t>
      </w:r>
      <w:r>
        <w:rPr>
          <w:rFonts w:ascii="Arial" w:hAnsi="Arial" w:cs="Arial"/>
          <w:i/>
          <w:sz w:val="22"/>
          <w:szCs w:val="22"/>
          <w:lang w:val="en-US"/>
        </w:rPr>
        <w:t xml:space="preserve">B </w:t>
      </w:r>
      <w:r>
        <w:rPr>
          <w:rFonts w:ascii="Arial" w:hAnsi="Arial" w:cs="Arial"/>
          <w:sz w:val="22"/>
          <w:szCs w:val="22"/>
          <w:lang w:val="en-US"/>
        </w:rPr>
        <w:t>– 1/n – 1,</w:t>
      </w:r>
    </w:p>
    <w:p w14:paraId="5EC2B9BA">
      <w:pPr>
        <w:spacing w:line="480" w:lineRule="auto"/>
        <w:ind w:firstLine="708"/>
        <w:rPr>
          <w:rFonts w:ascii="Arial" w:hAnsi="Arial" w:cs="Arial"/>
          <w:sz w:val="22"/>
          <w:szCs w:val="22"/>
          <w:lang w:val="en-US"/>
        </w:rPr>
      </w:pPr>
      <w:r>
        <w:rPr>
          <w:rFonts w:ascii="Arial" w:hAnsi="Arial" w:cs="Arial"/>
          <w:sz w:val="22"/>
          <w:szCs w:val="22"/>
          <w:lang w:val="en-US"/>
        </w:rPr>
        <w:t>The estimate of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ingested by the gomphotheres was made from their enamel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PO4</w:t>
      </w:r>
      <w:r>
        <w:rPr>
          <w:rFonts w:ascii="Arial" w:hAnsi="Arial" w:cs="Arial"/>
          <w:sz w:val="22"/>
          <w:szCs w:val="22"/>
          <w:lang w:val="en-US"/>
        </w:rPr>
        <w:t xml:space="preserve"> values using a linear regression based on modern elephants, their closest living relatives. To carry out this analysis, we assumed no significant differences in the water-to-phosphate oxygen isotope fractionation factor between extinct gomphotheres and extant elephants. The equation used to obtain the </w:t>
      </w:r>
      <w:r>
        <w:rPr>
          <w:rFonts w:ascii="Arial" w:hAnsi="Arial" w:cs="Arial"/>
          <w:i/>
          <w:iCs/>
          <w:sz w:val="22"/>
          <w:szCs w:val="22"/>
          <w:lang w:val="en-US"/>
        </w:rPr>
        <w:t>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value for gomphotheres was: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 (VSMOW)</w:t>
      </w:r>
      <w:r>
        <w:rPr>
          <w:rFonts w:ascii="Arial" w:hAnsi="Arial" w:cs="Arial"/>
          <w:sz w:val="22"/>
          <w:szCs w:val="22"/>
          <w:lang w:val="en-US"/>
        </w:rPr>
        <w:t xml:space="preserve"> =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PO4 (VSMOW)</w:t>
      </w:r>
      <w:r>
        <w:rPr>
          <w:rFonts w:ascii="Arial" w:hAnsi="Arial" w:cs="Arial"/>
          <w:sz w:val="22"/>
          <w:szCs w:val="22"/>
          <w:lang w:val="en-US"/>
        </w:rPr>
        <w:t xml:space="preserve"> – 23.3)/0.94 (Ayliffe et al. 1992). </w:t>
      </w:r>
    </w:p>
    <w:p w14:paraId="4B1DEA84">
      <w:pPr>
        <w:spacing w:line="480" w:lineRule="auto"/>
        <w:ind w:firstLine="708"/>
        <w:rPr>
          <w:rFonts w:ascii="Arial" w:hAnsi="Arial" w:cs="Arial"/>
          <w:sz w:val="22"/>
          <w:szCs w:val="22"/>
          <w:lang w:val="en-US"/>
        </w:rPr>
      </w:pPr>
      <w:r>
        <w:rPr>
          <w:rFonts w:ascii="Arial" w:hAnsi="Arial" w:cs="Arial"/>
          <w:sz w:val="22"/>
          <w:szCs w:val="22"/>
          <w:lang w:val="en-US"/>
        </w:rPr>
        <w:t>For the microwear analysis, we followed the protocols of Solounias and Semprebon (2002) and Semprebon et al. (2016). Each molar's occlusal surface was cleaned with acetone, followed by 96% ethanol. We then created high-resolution silicone mounds (Heraeus Kulzer, PROVIL novo Vinylpolysiloxane, Light C.D. 2 regular set) and produced transparent casts with clear epoxy resin (C.T.S. Spain, EPO 150 + K151). The enamel microwear was examined using a Zeiss Stemi 2000C stereomicroscope at 35× magnification on high-resolution epoxy casts. Microphotographs were captured using a Blackfly S digital camera with Kivy Mic Capture Z software. We used the Helicon Focus 7 software to merge images from different focal planes for a greater depth of field and ImageJ to add scale bars. To minimize inter-observer error, all specimens were analyzed by two independent experienced observers (IRP and FR). We included molars M1/m1, M2/m2 and, M3/m3, as outlined by Xafis et al., (2017). A 0.16 mm</w:t>
      </w:r>
      <w:r>
        <w:rPr>
          <w:rFonts w:ascii="Arial" w:hAnsi="Arial" w:cs="Arial"/>
          <w:sz w:val="22"/>
          <w:szCs w:val="22"/>
          <w:vertAlign w:val="superscript"/>
          <w:lang w:val="en-US"/>
        </w:rPr>
        <w:t>2</w:t>
      </w:r>
      <w:r>
        <w:rPr>
          <w:rFonts w:ascii="Arial" w:hAnsi="Arial" w:cs="Arial"/>
          <w:sz w:val="22"/>
          <w:szCs w:val="22"/>
          <w:lang w:val="en-US"/>
        </w:rPr>
        <w:t xml:space="preserve"> ocular reticle was used to quantify microwear features, </w:t>
      </w:r>
      <w:bookmarkStart w:id="0" w:name="_Hlk211351949"/>
      <w:r>
        <w:rPr>
          <w:rFonts w:ascii="Arial" w:hAnsi="Arial" w:cs="Arial"/>
          <w:sz w:val="22"/>
          <w:szCs w:val="22"/>
          <w:lang w:val="en-US"/>
        </w:rPr>
        <w:t xml:space="preserve">including the number of pits (round scars), scratches (elongated, parallel-side scars), gouges (irregular, and much larger and deeper than large pits), puncture pits (deep, crater-like pits with low refractivity), cross scratches (perpendicular to most scratches), and scratch width score (SWS). An SWS score of ‘0’ was given when only fine scratches were present, ‘1’ when there was a mixture of fine and coarse scratches, ‘2’ when coarse scratches were predominantly present, ‘3’ </w:t>
      </w:r>
      <w:bookmarkEnd w:id="0"/>
      <w:r>
        <w:rPr>
          <w:rFonts w:ascii="Arial" w:hAnsi="Arial" w:cs="Arial"/>
          <w:sz w:val="22"/>
          <w:szCs w:val="22"/>
          <w:lang w:val="en-US"/>
        </w:rPr>
        <w:t>when there was a mixture of coarse and hyper-coarse scratches and ‘4’ when the surface also had hyper-coarse scratches). The mean numbers of scratches and pits were used to categorize dietary habits as browsers (i.e., eating woody and non-woody dicotyledonous plants), grazers (i.e., eating grass), or mixed feeders by comparing the data to known dietary habits of extant ungulates and the three living elephant species (Solounias and Semprebon 2002). The bivariate microwear plots were performed in R (R Core Team 2023) using the MicrowearBivaR script (Rivals 2025).</w:t>
      </w:r>
    </w:p>
    <w:p w14:paraId="3C27DF18">
      <w:pPr>
        <w:pStyle w:val="24"/>
        <w:spacing w:line="480" w:lineRule="auto"/>
        <w:rPr>
          <w:rFonts w:ascii="Arial" w:hAnsi="Arial" w:cs="Arial"/>
          <w:sz w:val="22"/>
          <w:szCs w:val="22"/>
          <w:lang w:val="en-US"/>
        </w:rPr>
      </w:pPr>
      <w:r>
        <w:rPr>
          <w:rFonts w:ascii="Arial" w:hAnsi="Arial" w:cs="Arial"/>
          <w:sz w:val="22"/>
          <w:szCs w:val="22"/>
          <w:lang w:val="en-US"/>
        </w:rPr>
        <w:t>Regarding the radiocarbon dating analysis, the enamel samples were processed according to their standard procedures. A summary of those methods is the following: the enamel was ultrasonically cleaned, washed, dried, and gently crushed into small fragments. The fragments were treated with diluted 1N acetic acid to remove surface and secondary carbonates, with periodic evacuation ensuring evolved CO</w:t>
      </w:r>
      <w:r>
        <w:rPr>
          <w:rFonts w:ascii="Cambria Math" w:hAnsi="Cambria Math" w:cs="Cambria Math"/>
          <w:sz w:val="22"/>
          <w:szCs w:val="22"/>
          <w:lang w:val="en-US"/>
        </w:rPr>
        <w:t>₂</w:t>
      </w:r>
      <w:r>
        <w:rPr>
          <w:rFonts w:ascii="Arial" w:hAnsi="Arial" w:cs="Arial"/>
          <w:sz w:val="22"/>
          <w:szCs w:val="22"/>
          <w:lang w:val="en-US"/>
        </w:rPr>
        <w:t xml:space="preserve"> removal and acid access to internal surfaces. The cleaned samples were then reacted under vacuum with 100% phosphoric acid to dissolve the bone mineral and release CO</w:t>
      </w:r>
      <w:r>
        <w:rPr>
          <w:rFonts w:ascii="Cambria Math" w:hAnsi="Cambria Math" w:cs="Cambria Math"/>
          <w:sz w:val="22"/>
          <w:szCs w:val="22"/>
          <w:lang w:val="en-US"/>
        </w:rPr>
        <w:t>₂</w:t>
      </w:r>
      <w:r>
        <w:rPr>
          <w:rFonts w:ascii="Arial" w:hAnsi="Arial" w:cs="Arial"/>
          <w:sz w:val="22"/>
          <w:szCs w:val="22"/>
          <w:lang w:val="en-US"/>
        </w:rPr>
        <w:t xml:space="preserve"> from bioapatite. The resultant CO</w:t>
      </w:r>
      <w:r>
        <w:rPr>
          <w:rFonts w:ascii="Cambria Math" w:hAnsi="Cambria Math" w:cs="Cambria Math"/>
          <w:sz w:val="22"/>
          <w:szCs w:val="22"/>
          <w:lang w:val="en-US"/>
        </w:rPr>
        <w:t>₂</w:t>
      </w:r>
      <w:r>
        <w:rPr>
          <w:rFonts w:ascii="Arial" w:hAnsi="Arial" w:cs="Arial"/>
          <w:sz w:val="22"/>
          <w:szCs w:val="22"/>
          <w:lang w:val="en-US"/>
        </w:rPr>
        <w:t xml:space="preserve"> was cryogenically purified and converted to graphite following Vogel et al. (1984). Graphite </w:t>
      </w:r>
      <w:r>
        <w:t>¹⁴</w:t>
      </w:r>
      <w:r>
        <w:rPr>
          <w:rFonts w:ascii="Arial" w:hAnsi="Arial" w:cs="Arial"/>
          <w:sz w:val="22"/>
          <w:szCs w:val="22"/>
          <w:lang w:val="en-US"/>
        </w:rPr>
        <w:t xml:space="preserve">C/¹³C ratios were measured using AMS and compared with the Oxalic Acid I standard (NBS SRM 4990). Finally, uncalibrated radiocarbon ages are given in years BP (before 1950), based on a ¹⁴C half-life of 5568 years, with 1σ errors reflecting both statistical and experimental uncertainties. </w:t>
      </w:r>
    </w:p>
    <w:p w14:paraId="1ED557BF">
      <w:pPr>
        <w:rPr>
          <w:rFonts w:ascii="Arial" w:hAnsi="Arial" w:cs="Arial"/>
          <w:b/>
          <w:bCs/>
          <w:sz w:val="22"/>
          <w:szCs w:val="22"/>
          <w:lang w:val="en-US"/>
        </w:rPr>
      </w:pPr>
    </w:p>
    <w:p w14:paraId="2042C163">
      <w:pPr>
        <w:rPr>
          <w:rFonts w:ascii="Arial" w:hAnsi="Arial" w:cs="Arial"/>
          <w:b/>
          <w:bCs/>
          <w:sz w:val="22"/>
          <w:szCs w:val="22"/>
          <w:lang w:val="en-US"/>
        </w:rPr>
      </w:pPr>
    </w:p>
    <w:p w14:paraId="56FCB0F1">
      <w:pPr>
        <w:rPr>
          <w:rFonts w:ascii="Arial" w:hAnsi="Arial" w:cs="Arial"/>
          <w:b/>
          <w:bCs/>
          <w:sz w:val="22"/>
          <w:szCs w:val="22"/>
          <w:lang w:val="en-US"/>
        </w:rPr>
      </w:pPr>
      <w:r>
        <w:rPr>
          <w:rFonts w:ascii="Arial" w:hAnsi="Arial" w:cs="Arial"/>
          <w:b/>
          <w:bCs/>
          <w:sz w:val="22"/>
          <w:szCs w:val="22"/>
          <w:lang w:val="en-US"/>
        </w:rPr>
        <w:t>3. Results</w:t>
      </w:r>
    </w:p>
    <w:p w14:paraId="371CEFC8">
      <w:pPr>
        <w:rPr>
          <w:rFonts w:ascii="Arial" w:hAnsi="Arial" w:cs="Arial"/>
          <w:b/>
          <w:bCs/>
          <w:sz w:val="22"/>
          <w:szCs w:val="22"/>
          <w:lang w:val="en-US"/>
        </w:rPr>
      </w:pPr>
    </w:p>
    <w:p w14:paraId="5CDB6F31">
      <w:pPr>
        <w:rPr>
          <w:rFonts w:ascii="Arial" w:hAnsi="Arial" w:cs="Arial"/>
          <w:sz w:val="22"/>
          <w:szCs w:val="22"/>
          <w:lang w:val="en-US"/>
        </w:rPr>
      </w:pPr>
    </w:p>
    <w:p w14:paraId="6C27AA83">
      <w:pPr>
        <w:rPr>
          <w:rFonts w:ascii="Arial" w:hAnsi="Arial" w:cs="Arial"/>
          <w:sz w:val="22"/>
          <w:szCs w:val="22"/>
          <w:lang w:val="en-US"/>
        </w:rPr>
      </w:pPr>
      <w:r>
        <w:rPr>
          <w:rFonts w:ascii="Arial" w:hAnsi="Arial" w:cs="Arial"/>
          <w:sz w:val="22"/>
          <w:szCs w:val="22"/>
          <w:lang w:val="en-US"/>
        </w:rPr>
        <w:t xml:space="preserve">3.1. </w:t>
      </w:r>
      <w:r>
        <w:rPr>
          <w:rFonts w:ascii="Arial" w:hAnsi="Arial" w:cs="Arial"/>
          <w:i/>
          <w:iCs/>
          <w:sz w:val="22"/>
          <w:szCs w:val="22"/>
          <w:lang w:val="en-US"/>
        </w:rPr>
        <w:t>Preservation of the isotopic signal</w:t>
      </w:r>
    </w:p>
    <w:p w14:paraId="48C56225">
      <w:pPr>
        <w:rPr>
          <w:rFonts w:ascii="Arial" w:hAnsi="Arial" w:cs="Arial"/>
          <w:sz w:val="22"/>
          <w:szCs w:val="22"/>
          <w:lang w:val="en-US"/>
        </w:rPr>
      </w:pPr>
    </w:p>
    <w:p w14:paraId="54FF361E">
      <w:pPr>
        <w:spacing w:line="480" w:lineRule="auto"/>
        <w:rPr>
          <w:rFonts w:ascii="Arial" w:hAnsi="Arial" w:cs="Arial"/>
          <w:sz w:val="22"/>
          <w:szCs w:val="22"/>
          <w:lang w:val="en-US"/>
        </w:rPr>
      </w:pPr>
      <w:r>
        <w:rPr>
          <w:rFonts w:ascii="Arial" w:hAnsi="Arial" w:cs="Arial"/>
          <w:sz w:val="22"/>
          <w:szCs w:val="22"/>
          <w:lang w:val="en-US"/>
        </w:rPr>
        <w:t>The samples analyzed in this study had an average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CO3–PO4</w:t>
      </w:r>
      <w:r>
        <w:rPr>
          <w:rFonts w:ascii="Arial" w:hAnsi="Arial" w:cs="Arial"/>
          <w:sz w:val="22"/>
          <w:szCs w:val="22"/>
          <w:lang w:val="en-US"/>
        </w:rPr>
        <w:t xml:space="preserve"> value of approximately 9.3‰ (Supplementary Material), aligning with the standard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CO3–PO4</w:t>
      </w:r>
      <w:r>
        <w:rPr>
          <w:rFonts w:ascii="Arial" w:hAnsi="Arial" w:cs="Arial"/>
          <w:sz w:val="22"/>
          <w:szCs w:val="22"/>
          <w:lang w:val="en-US"/>
        </w:rPr>
        <w:t xml:space="preserve"> range for unaltered bioapatite of modern mammals (8.6 – 9.1 ‰) (Iacumin et al. 1996). This alignment indicates the preservation of original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CO3</w:t>
      </w:r>
      <w:r>
        <w:rPr>
          <w:rFonts w:ascii="Arial" w:hAnsi="Arial" w:cs="Arial"/>
          <w:sz w:val="22"/>
          <w:szCs w:val="22"/>
          <w:lang w:val="en-US"/>
        </w:rPr>
        <w:t xml:space="preserve"> and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PO4</w:t>
      </w:r>
      <w:r>
        <w:rPr>
          <w:rFonts w:ascii="Arial" w:hAnsi="Arial" w:cs="Arial"/>
          <w:sz w:val="22"/>
          <w:szCs w:val="22"/>
          <w:lang w:val="en-US"/>
        </w:rPr>
        <w:t xml:space="preserve"> values. Additionally, the strong correlation coefficient between these isotopic values (R</w:t>
      </w:r>
      <w:r>
        <w:rPr>
          <w:rFonts w:ascii="Arial" w:hAnsi="Arial" w:cs="Arial"/>
          <w:sz w:val="22"/>
          <w:szCs w:val="22"/>
          <w:vertAlign w:val="superscript"/>
          <w:lang w:val="en-US"/>
        </w:rPr>
        <w:t xml:space="preserve">2 </w:t>
      </w:r>
      <w:r>
        <w:rPr>
          <w:rFonts w:ascii="Arial" w:hAnsi="Arial" w:cs="Arial"/>
          <w:sz w:val="22"/>
          <w:szCs w:val="22"/>
          <w:lang w:val="en-US"/>
        </w:rPr>
        <w:t>= 0.96, p &lt; 0.001) supports the hypothesis that CO</w:t>
      </w:r>
      <w:r>
        <w:rPr>
          <w:rFonts w:ascii="Arial" w:hAnsi="Arial" w:cs="Arial"/>
          <w:sz w:val="22"/>
          <w:szCs w:val="22"/>
          <w:vertAlign w:val="subscript"/>
          <w:lang w:val="en-US"/>
        </w:rPr>
        <w:t>3</w:t>
      </w:r>
      <w:r>
        <w:rPr>
          <w:rFonts w:ascii="Arial" w:hAnsi="Arial" w:cs="Arial"/>
          <w:sz w:val="22"/>
          <w:szCs w:val="22"/>
          <w:vertAlign w:val="superscript"/>
          <w:lang w:val="en-US"/>
        </w:rPr>
        <w:t>−2</w:t>
      </w:r>
      <w:r>
        <w:rPr>
          <w:rFonts w:ascii="Arial" w:hAnsi="Arial" w:cs="Arial"/>
          <w:sz w:val="22"/>
          <w:szCs w:val="22"/>
          <w:lang w:val="en-US"/>
        </w:rPr>
        <w:t xml:space="preserve"> and PO</w:t>
      </w:r>
      <w:r>
        <w:rPr>
          <w:rFonts w:ascii="Arial" w:hAnsi="Arial" w:cs="Arial"/>
          <w:sz w:val="22"/>
          <w:szCs w:val="22"/>
          <w:vertAlign w:val="subscript"/>
          <w:lang w:val="en-US"/>
        </w:rPr>
        <w:t>4</w:t>
      </w:r>
      <w:r>
        <w:rPr>
          <w:rFonts w:ascii="Arial" w:hAnsi="Arial" w:cs="Arial"/>
          <w:sz w:val="22"/>
          <w:szCs w:val="22"/>
          <w:vertAlign w:val="superscript"/>
          <w:lang w:val="en-US"/>
        </w:rPr>
        <w:t>−3</w:t>
      </w:r>
      <w:r>
        <w:rPr>
          <w:rFonts w:ascii="Arial" w:hAnsi="Arial" w:cs="Arial"/>
          <w:sz w:val="22"/>
          <w:szCs w:val="22"/>
          <w:lang w:val="en-US"/>
        </w:rPr>
        <w:t xml:space="preserve"> components in bioapatite are cogenetically precipitated in equilibrium from body water occurring under the relatively invariant mammalian body temperatures (Figure S1). </w:t>
      </w:r>
    </w:p>
    <w:p w14:paraId="0B43CA59">
      <w:pPr>
        <w:spacing w:line="480" w:lineRule="auto"/>
        <w:rPr>
          <w:rFonts w:ascii="Arial" w:hAnsi="Arial" w:cs="Arial"/>
          <w:sz w:val="22"/>
          <w:szCs w:val="22"/>
          <w:lang w:val="en-US"/>
        </w:rPr>
      </w:pPr>
    </w:p>
    <w:p w14:paraId="1D5BA11D">
      <w:pPr>
        <w:rPr>
          <w:rFonts w:ascii="Arial" w:hAnsi="Arial" w:cs="Arial"/>
          <w:sz w:val="22"/>
          <w:szCs w:val="22"/>
          <w:lang w:val="en-US"/>
        </w:rPr>
      </w:pPr>
      <w:r>
        <w:rPr>
          <w:rFonts w:ascii="Arial" w:hAnsi="Arial" w:cs="Arial"/>
          <w:sz w:val="22"/>
          <w:szCs w:val="22"/>
          <w:lang w:val="en-US"/>
        </w:rPr>
        <w:t xml:space="preserve">3.2. </w:t>
      </w:r>
      <w:r>
        <w:rPr>
          <w:rFonts w:ascii="Arial" w:hAnsi="Arial" w:cs="Arial"/>
          <w:i/>
          <w:iCs/>
          <w:sz w:val="22"/>
          <w:szCs w:val="22"/>
          <w:lang w:val="en-US"/>
        </w:rPr>
        <w:t xml:space="preserve">Types of environments in relation to the ranges of </w:t>
      </w:r>
      <w:r>
        <w:rPr>
          <w:rFonts w:ascii="Arial" w:hAnsi="Arial" w:cs="Arial"/>
          <w:i/>
          <w:iCs/>
          <w:sz w:val="22"/>
          <w:szCs w:val="22"/>
        </w:rPr>
        <w:t>δ</w:t>
      </w:r>
      <w:r>
        <w:rPr>
          <w:rFonts w:ascii="Arial" w:hAnsi="Arial" w:cs="Arial"/>
          <w:i/>
          <w:iCs/>
          <w:sz w:val="22"/>
          <w:szCs w:val="22"/>
          <w:vertAlign w:val="superscript"/>
          <w:lang w:val="en-US"/>
        </w:rPr>
        <w:t>13</w:t>
      </w:r>
      <w:r>
        <w:rPr>
          <w:rFonts w:ascii="Arial" w:hAnsi="Arial" w:cs="Arial"/>
          <w:i/>
          <w:iCs/>
          <w:sz w:val="22"/>
          <w:szCs w:val="22"/>
          <w:lang w:val="en-US"/>
        </w:rPr>
        <w:t>C values</w:t>
      </w:r>
    </w:p>
    <w:p w14:paraId="0CCA9160">
      <w:pPr>
        <w:rPr>
          <w:rFonts w:ascii="Arial" w:hAnsi="Arial" w:cs="Arial"/>
          <w:sz w:val="22"/>
          <w:szCs w:val="22"/>
          <w:lang w:val="en-US"/>
        </w:rPr>
      </w:pPr>
    </w:p>
    <w:p w14:paraId="085DC30B">
      <w:pPr>
        <w:spacing w:line="480" w:lineRule="auto"/>
        <w:rPr>
          <w:rFonts w:ascii="Arial" w:hAnsi="Arial" w:cs="Arial"/>
          <w:sz w:val="22"/>
          <w:szCs w:val="22"/>
          <w:lang/>
        </w:rPr>
      </w:pPr>
      <w:r>
        <w:rPr>
          <w:rFonts w:ascii="Arial" w:hAnsi="Arial" w:cs="Arial"/>
          <w:sz w:val="22"/>
          <w:szCs w:val="22"/>
          <w:lang w:val="en-US"/>
        </w:rPr>
        <w:t>The ANOVA test yielded a p-value &lt; 0.05, indicating that at least one locality has significantly different δ</w:t>
      </w:r>
      <w:r>
        <w:rPr>
          <w:rFonts w:ascii="Arial" w:hAnsi="Arial" w:cs="Arial"/>
          <w:sz w:val="22"/>
          <w:szCs w:val="22"/>
          <w:vertAlign w:val="superscript"/>
          <w:lang w:val="en-US"/>
        </w:rPr>
        <w:t>13</w:t>
      </w:r>
      <w:r>
        <w:rPr>
          <w:rFonts w:ascii="Arial" w:hAnsi="Arial" w:cs="Arial"/>
          <w:sz w:val="22"/>
          <w:szCs w:val="22"/>
          <w:lang w:val="en-US"/>
        </w:rPr>
        <w:t>C values compared to the others. The Tukey HSD test indicates that the localities of La Carolina/Santa Elena and Alangasí/Pichincha show significant differences (p-value = 0.0014). Gomphotheres inhabited the following paleoenvironments according to the ranges established for  δ</w:t>
      </w:r>
      <w:r>
        <w:rPr>
          <w:rFonts w:ascii="Arial" w:hAnsi="Arial" w:cs="Arial"/>
          <w:sz w:val="22"/>
          <w:szCs w:val="22"/>
          <w:vertAlign w:val="superscript"/>
          <w:lang w:val="en-US"/>
        </w:rPr>
        <w:t>13</w:t>
      </w:r>
      <w:r>
        <w:rPr>
          <w:rFonts w:ascii="Arial" w:hAnsi="Arial" w:cs="Arial"/>
          <w:sz w:val="22"/>
          <w:szCs w:val="22"/>
          <w:lang w:val="en-US"/>
        </w:rPr>
        <w:t>C (Domingo et al. 2012): 1)</w:t>
      </w:r>
      <w:r>
        <w:rPr>
          <w:lang w:val="en-US"/>
        </w:rPr>
        <w:t xml:space="preserve"> </w:t>
      </w:r>
      <w:r>
        <w:rPr>
          <w:rFonts w:ascii="Arial" w:hAnsi="Arial" w:cs="Arial"/>
          <w:sz w:val="22"/>
          <w:szCs w:val="22"/>
          <w:lang w:val="en-US"/>
        </w:rPr>
        <w:t>Santa Elena province:</w:t>
      </w:r>
      <w:r>
        <w:rPr>
          <w:rFonts w:ascii="Arial" w:hAnsi="Arial" w:cs="Arial"/>
          <w:sz w:val="22"/>
          <w:szCs w:val="22"/>
          <w:lang/>
        </w:rPr>
        <w:t xml:space="preserve"> with a range of –9.39 to –0.78 ‰, specimens showed δ</w:t>
      </w:r>
      <w:r>
        <w:rPr>
          <w:rFonts w:ascii="Arial" w:hAnsi="Arial" w:cs="Arial"/>
          <w:sz w:val="22"/>
          <w:szCs w:val="22"/>
          <w:vertAlign w:val="superscript"/>
          <w:lang/>
        </w:rPr>
        <w:t>13</w:t>
      </w:r>
      <w:r>
        <w:rPr>
          <w:rFonts w:ascii="Arial" w:hAnsi="Arial" w:cs="Arial"/>
          <w:sz w:val="22"/>
          <w:szCs w:val="22"/>
          <w:lang/>
        </w:rPr>
        <w:t>C values associated with mesic/woodland (n=1), wooded C</w:t>
      </w:r>
      <w:r>
        <w:rPr>
          <w:rFonts w:ascii="Arial" w:hAnsi="Arial" w:cs="Arial"/>
          <w:sz w:val="22"/>
          <w:szCs w:val="22"/>
          <w:vertAlign w:val="subscript"/>
          <w:lang/>
        </w:rPr>
        <w:t>3</w:t>
      </w:r>
      <w:r>
        <w:rPr>
          <w:rFonts w:ascii="Arial" w:hAnsi="Arial" w:cs="Arial"/>
          <w:sz w:val="22"/>
          <w:szCs w:val="22"/>
          <w:lang/>
        </w:rPr>
        <w:t xml:space="preserve"> grasslands to open, arid C</w:t>
      </w:r>
      <w:r>
        <w:rPr>
          <w:rFonts w:ascii="Arial" w:hAnsi="Arial" w:cs="Arial"/>
          <w:sz w:val="22"/>
          <w:szCs w:val="22"/>
          <w:vertAlign w:val="subscript"/>
          <w:lang/>
        </w:rPr>
        <w:t>3</w:t>
      </w:r>
      <w:r>
        <w:rPr>
          <w:rFonts w:ascii="Arial" w:hAnsi="Arial" w:cs="Arial"/>
          <w:sz w:val="22"/>
          <w:szCs w:val="22"/>
          <w:lang/>
        </w:rPr>
        <w:t xml:space="preserve"> grasslands (n=11), open vegetation areas C</w:t>
      </w:r>
      <w:r>
        <w:rPr>
          <w:rFonts w:ascii="Arial" w:hAnsi="Arial" w:cs="Arial"/>
          <w:sz w:val="22"/>
          <w:szCs w:val="22"/>
          <w:vertAlign w:val="subscript"/>
          <w:lang/>
        </w:rPr>
        <w:t>3</w:t>
      </w:r>
      <w:r>
        <w:rPr>
          <w:rFonts w:ascii="Arial" w:hAnsi="Arial" w:cs="Arial"/>
          <w:sz w:val="22"/>
          <w:szCs w:val="22"/>
          <w:lang/>
        </w:rPr>
        <w:t>-C</w:t>
      </w:r>
      <w:r>
        <w:rPr>
          <w:rFonts w:ascii="Arial" w:hAnsi="Arial" w:cs="Arial"/>
          <w:sz w:val="22"/>
          <w:szCs w:val="22"/>
          <w:vertAlign w:val="subscript"/>
          <w:lang/>
        </w:rPr>
        <w:t>4</w:t>
      </w:r>
      <w:r>
        <w:rPr>
          <w:rFonts w:ascii="Arial" w:hAnsi="Arial" w:cs="Arial"/>
          <w:sz w:val="22"/>
          <w:szCs w:val="22"/>
          <w:lang/>
        </w:rPr>
        <w:t xml:space="preserve"> (n=4); open vegetation areas C</w:t>
      </w:r>
      <w:r>
        <w:rPr>
          <w:rFonts w:ascii="Arial" w:hAnsi="Arial" w:cs="Arial"/>
          <w:sz w:val="22"/>
          <w:szCs w:val="22"/>
          <w:vertAlign w:val="subscript"/>
          <w:lang/>
        </w:rPr>
        <w:t>4</w:t>
      </w:r>
      <w:r>
        <w:rPr>
          <w:rFonts w:ascii="Arial" w:hAnsi="Arial" w:cs="Arial"/>
          <w:sz w:val="22"/>
          <w:szCs w:val="22"/>
          <w:lang/>
        </w:rPr>
        <w:t xml:space="preserve"> (n=1)</w:t>
      </w:r>
      <w:r>
        <w:rPr>
          <w:rFonts w:ascii="Arial" w:hAnsi="Arial" w:cs="Arial"/>
          <w:sz w:val="22"/>
          <w:szCs w:val="22"/>
          <w:lang w:val="en-US"/>
        </w:rPr>
        <w:t>; 2) Manabí province: gomphotheres have a range of –7.09 to –6.64‰, indicating that they inhabited wooded C</w:t>
      </w:r>
      <w:r>
        <w:rPr>
          <w:rFonts w:ascii="Arial" w:hAnsi="Arial" w:cs="Arial"/>
          <w:sz w:val="22"/>
          <w:szCs w:val="22"/>
          <w:vertAlign w:val="subscript"/>
          <w:lang w:val="en-US"/>
        </w:rPr>
        <w:t>3</w:t>
      </w:r>
      <w:r>
        <w:rPr>
          <w:rFonts w:ascii="Arial" w:hAnsi="Arial" w:cs="Arial"/>
          <w:sz w:val="22"/>
          <w:szCs w:val="22"/>
          <w:lang w:val="en-US"/>
        </w:rPr>
        <w:t xml:space="preserve"> grassland to open, arid C</w:t>
      </w:r>
      <w:r>
        <w:rPr>
          <w:rFonts w:ascii="Arial" w:hAnsi="Arial" w:cs="Arial"/>
          <w:sz w:val="22"/>
          <w:szCs w:val="22"/>
          <w:vertAlign w:val="subscript"/>
          <w:lang w:val="en-US"/>
        </w:rPr>
        <w:t>3</w:t>
      </w:r>
      <w:r>
        <w:rPr>
          <w:rFonts w:ascii="Arial" w:hAnsi="Arial" w:cs="Arial"/>
          <w:sz w:val="22"/>
          <w:szCs w:val="22"/>
          <w:lang w:val="en-US"/>
        </w:rPr>
        <w:t xml:space="preserve"> grassland; 3) Pichincha province:  the specimens showed a range of –14.82 to –4.58‰, indicating that they inhabited in </w:t>
      </w:r>
      <w:r>
        <w:rPr>
          <w:rFonts w:ascii="Arial" w:hAnsi="Arial" w:cs="Arial"/>
          <w:sz w:val="22"/>
          <w:szCs w:val="22"/>
          <w:lang/>
        </w:rPr>
        <w:t>closed canopy (n=1), mesic/woodland (n=13), wooded C</w:t>
      </w:r>
      <w:r>
        <w:rPr>
          <w:rFonts w:ascii="Arial" w:hAnsi="Arial" w:cs="Arial"/>
          <w:sz w:val="22"/>
          <w:szCs w:val="22"/>
          <w:vertAlign w:val="subscript"/>
          <w:lang/>
        </w:rPr>
        <w:t>3</w:t>
      </w:r>
      <w:r>
        <w:rPr>
          <w:rFonts w:ascii="Arial" w:hAnsi="Arial" w:cs="Arial"/>
          <w:sz w:val="22"/>
          <w:szCs w:val="22"/>
          <w:lang/>
        </w:rPr>
        <w:t xml:space="preserve"> grasslands to open, arid C</w:t>
      </w:r>
      <w:r>
        <w:rPr>
          <w:rFonts w:ascii="Arial" w:hAnsi="Arial" w:cs="Arial"/>
          <w:sz w:val="22"/>
          <w:szCs w:val="22"/>
          <w:vertAlign w:val="subscript"/>
          <w:lang/>
        </w:rPr>
        <w:t>3</w:t>
      </w:r>
      <w:r>
        <w:rPr>
          <w:rFonts w:ascii="Arial" w:hAnsi="Arial" w:cs="Arial"/>
          <w:sz w:val="22"/>
          <w:szCs w:val="22"/>
          <w:lang/>
        </w:rPr>
        <w:t xml:space="preserve"> grasslands (n=9) and open vegetation areas C</w:t>
      </w:r>
      <w:r>
        <w:rPr>
          <w:rFonts w:ascii="Arial" w:hAnsi="Arial" w:cs="Arial"/>
          <w:sz w:val="22"/>
          <w:szCs w:val="22"/>
          <w:vertAlign w:val="subscript"/>
          <w:lang/>
        </w:rPr>
        <w:t>3</w:t>
      </w:r>
      <w:r>
        <w:rPr>
          <w:rFonts w:ascii="Arial" w:hAnsi="Arial" w:cs="Arial"/>
          <w:sz w:val="22"/>
          <w:szCs w:val="22"/>
          <w:lang/>
        </w:rPr>
        <w:t>-C</w:t>
      </w:r>
      <w:r>
        <w:rPr>
          <w:rFonts w:ascii="Arial" w:hAnsi="Arial" w:cs="Arial"/>
          <w:sz w:val="22"/>
          <w:szCs w:val="22"/>
          <w:vertAlign w:val="subscript"/>
          <w:lang/>
        </w:rPr>
        <w:t>4</w:t>
      </w:r>
      <w:r>
        <w:rPr>
          <w:rFonts w:ascii="Arial" w:hAnsi="Arial" w:cs="Arial"/>
          <w:sz w:val="22"/>
          <w:szCs w:val="22"/>
          <w:lang/>
        </w:rPr>
        <w:t xml:space="preserve"> (n=1) </w:t>
      </w:r>
      <w:r>
        <w:rPr>
          <w:rFonts w:ascii="Arial" w:hAnsi="Arial" w:cs="Arial"/>
          <w:sz w:val="22"/>
          <w:szCs w:val="22"/>
          <w:lang w:val="en-US"/>
        </w:rPr>
        <w:t>; 4) Chimborazo province: gomphotheres have a range of –9.71 to –5.1‰, indicating that they inhabited in mesic/woodland (n=3), wooded C</w:t>
      </w:r>
      <w:r>
        <w:rPr>
          <w:rFonts w:ascii="Arial" w:hAnsi="Arial" w:cs="Arial"/>
          <w:sz w:val="22"/>
          <w:szCs w:val="22"/>
          <w:vertAlign w:val="subscript"/>
          <w:lang w:val="en-US"/>
        </w:rPr>
        <w:t>3</w:t>
      </w:r>
      <w:r>
        <w:rPr>
          <w:rFonts w:ascii="Arial" w:hAnsi="Arial" w:cs="Arial"/>
          <w:sz w:val="22"/>
          <w:szCs w:val="22"/>
          <w:lang w:val="en-US"/>
        </w:rPr>
        <w:t xml:space="preserve"> grasslands to open, arid C</w:t>
      </w:r>
      <w:r>
        <w:rPr>
          <w:rFonts w:ascii="Arial" w:hAnsi="Arial" w:cs="Arial"/>
          <w:sz w:val="22"/>
          <w:szCs w:val="22"/>
          <w:vertAlign w:val="subscript"/>
          <w:lang w:val="en-US"/>
        </w:rPr>
        <w:t>3</w:t>
      </w:r>
      <w:r>
        <w:rPr>
          <w:rFonts w:ascii="Arial" w:hAnsi="Arial" w:cs="Arial"/>
          <w:sz w:val="22"/>
          <w:szCs w:val="22"/>
          <w:lang w:val="en-US"/>
        </w:rPr>
        <w:t xml:space="preserve"> grasslands (n=6) and open vegetation areas C</w:t>
      </w:r>
      <w:r>
        <w:rPr>
          <w:rFonts w:ascii="Arial" w:hAnsi="Arial" w:cs="Arial"/>
          <w:sz w:val="22"/>
          <w:szCs w:val="22"/>
          <w:vertAlign w:val="subscript"/>
          <w:lang w:val="en-US"/>
        </w:rPr>
        <w:t>3</w:t>
      </w:r>
      <w:r>
        <w:rPr>
          <w:rFonts w:ascii="Arial" w:hAnsi="Arial" w:cs="Arial"/>
          <w:sz w:val="22"/>
          <w:szCs w:val="22"/>
          <w:lang w:val="en-US"/>
        </w:rPr>
        <w:t>-C</w:t>
      </w:r>
      <w:r>
        <w:rPr>
          <w:rFonts w:ascii="Arial" w:hAnsi="Arial" w:cs="Arial"/>
          <w:sz w:val="22"/>
          <w:szCs w:val="22"/>
          <w:vertAlign w:val="subscript"/>
          <w:lang w:val="en-US"/>
        </w:rPr>
        <w:t>4</w:t>
      </w:r>
      <w:r>
        <w:rPr>
          <w:rFonts w:ascii="Arial" w:hAnsi="Arial" w:cs="Arial"/>
          <w:sz w:val="22"/>
          <w:szCs w:val="22"/>
          <w:lang w:val="en-US"/>
        </w:rPr>
        <w:t xml:space="preserve"> (n=1). Samples from unknown localities range from –10.44 to –5.27‰, indicating that they inhabited from </w:t>
      </w:r>
      <w:r>
        <w:rPr>
          <w:rFonts w:ascii="Arial" w:hAnsi="Arial" w:cs="Arial"/>
          <w:sz w:val="22"/>
          <w:szCs w:val="22"/>
          <w:lang/>
        </w:rPr>
        <w:t>mesic/woodlands (n=3) to open vegetation areas C</w:t>
      </w:r>
      <w:r>
        <w:rPr>
          <w:rFonts w:ascii="Arial" w:hAnsi="Arial" w:cs="Arial"/>
          <w:sz w:val="22"/>
          <w:szCs w:val="22"/>
          <w:vertAlign w:val="subscript"/>
          <w:lang/>
        </w:rPr>
        <w:t>3</w:t>
      </w:r>
      <w:r>
        <w:rPr>
          <w:rFonts w:ascii="Arial" w:hAnsi="Arial" w:cs="Arial"/>
          <w:sz w:val="22"/>
          <w:szCs w:val="22"/>
          <w:lang/>
        </w:rPr>
        <w:t>-C</w:t>
      </w:r>
      <w:r>
        <w:rPr>
          <w:rFonts w:ascii="Arial" w:hAnsi="Arial" w:cs="Arial"/>
          <w:sz w:val="22"/>
          <w:szCs w:val="22"/>
          <w:vertAlign w:val="subscript"/>
          <w:lang/>
        </w:rPr>
        <w:t xml:space="preserve">4 </w:t>
      </w:r>
      <w:r>
        <w:rPr>
          <w:rFonts w:ascii="Arial" w:hAnsi="Arial" w:cs="Arial"/>
          <w:sz w:val="22"/>
          <w:szCs w:val="22"/>
          <w:lang/>
        </w:rPr>
        <w:t xml:space="preserve">(n=1) </w:t>
      </w:r>
      <w:r>
        <w:rPr>
          <w:rFonts w:ascii="Arial" w:hAnsi="Arial" w:cs="Arial"/>
          <w:sz w:val="22"/>
          <w:szCs w:val="22"/>
          <w:lang w:val="en-US"/>
        </w:rPr>
        <w:t xml:space="preserve">(Figure 2). </w:t>
      </w:r>
    </w:p>
    <w:p w14:paraId="505BE692">
      <w:pPr>
        <w:rPr>
          <w:rFonts w:ascii="Arial" w:hAnsi="Arial" w:cs="Arial"/>
          <w:sz w:val="22"/>
          <w:szCs w:val="22"/>
          <w:lang w:val="en-US"/>
        </w:rPr>
      </w:pPr>
    </w:p>
    <w:p w14:paraId="2F83C6CB">
      <w:pPr>
        <w:rPr>
          <w:rFonts w:ascii="Arial" w:hAnsi="Arial" w:cs="Arial"/>
          <w:sz w:val="22"/>
          <w:szCs w:val="22"/>
          <w:lang w:val="en-US"/>
        </w:rPr>
      </w:pPr>
      <w:r>
        <w:rPr>
          <w:rFonts w:ascii="Arial" w:hAnsi="Arial" w:cs="Arial"/>
          <w:sz w:val="22"/>
          <w:szCs w:val="22"/>
          <w:lang w:val="en-US"/>
        </w:rPr>
        <w:t xml:space="preserve">3.3. </w:t>
      </w:r>
      <w:r>
        <w:rPr>
          <w:rFonts w:ascii="Arial" w:hAnsi="Arial" w:cs="Arial"/>
          <w:i/>
          <w:iCs/>
          <w:sz w:val="22"/>
          <w:szCs w:val="22"/>
          <w:lang w:val="en-US"/>
        </w:rPr>
        <w:t>Diet proportions and ecological niches estimates</w:t>
      </w:r>
    </w:p>
    <w:p w14:paraId="7101155D">
      <w:pPr>
        <w:spacing w:line="480" w:lineRule="auto"/>
        <w:rPr>
          <w:rFonts w:ascii="Arial" w:hAnsi="Arial" w:cs="Arial"/>
          <w:sz w:val="22"/>
          <w:szCs w:val="22"/>
          <w:lang w:val="en-US"/>
        </w:rPr>
      </w:pPr>
    </w:p>
    <w:p w14:paraId="64042435">
      <w:pPr>
        <w:spacing w:line="480" w:lineRule="auto"/>
        <w:ind w:firstLine="708"/>
        <w:rPr>
          <w:rFonts w:ascii="Arial" w:hAnsi="Arial" w:cs="Arial"/>
          <w:sz w:val="22"/>
          <w:szCs w:val="22"/>
          <w:lang w:val="en-US"/>
        </w:rPr>
      </w:pPr>
      <w:r>
        <w:rPr>
          <w:rFonts w:ascii="Arial" w:hAnsi="Arial" w:cs="Arial"/>
          <w:sz w:val="22"/>
          <w:szCs w:val="22"/>
          <w:lang w:val="en-US"/>
        </w:rPr>
        <w:t xml:space="preserve">The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values of bioapatite samples from Ecuadorian gomphotheres indicate a generalist feeding behavior with a predominantly C</w:t>
      </w:r>
      <w:r>
        <w:rPr>
          <w:rFonts w:ascii="Arial" w:hAnsi="Arial" w:cs="Arial"/>
          <w:sz w:val="22"/>
          <w:szCs w:val="22"/>
          <w:vertAlign w:val="subscript"/>
          <w:lang w:val="en-US"/>
        </w:rPr>
        <w:t xml:space="preserve">3 </w:t>
      </w:r>
      <w:r>
        <w:rPr>
          <w:rFonts w:ascii="Arial" w:hAnsi="Arial" w:cs="Arial"/>
          <w:sz w:val="22"/>
          <w:szCs w:val="22"/>
          <w:lang w:val="en-US"/>
        </w:rPr>
        <w:t xml:space="preserve"> diet (</w:t>
      </w:r>
      <w:r>
        <w:rPr>
          <w:rFonts w:ascii="Arial" w:hAnsi="Arial" w:cs="Arial"/>
          <w:i/>
          <w:iCs/>
          <w:sz w:val="22"/>
          <w:szCs w:val="22"/>
          <w:lang w:val="en-US"/>
        </w:rPr>
        <w:t>pi</w:t>
      </w:r>
      <w:r>
        <w:rPr>
          <w:rFonts w:ascii="Arial" w:hAnsi="Arial" w:cs="Arial"/>
          <w:sz w:val="22"/>
          <w:szCs w:val="22"/>
          <w:lang w:val="en-US"/>
        </w:rPr>
        <w:t>C</w:t>
      </w:r>
      <w:r>
        <w:rPr>
          <w:rFonts w:ascii="Arial" w:hAnsi="Arial" w:cs="Arial"/>
          <w:sz w:val="22"/>
          <w:szCs w:val="22"/>
          <w:vertAlign w:val="subscript"/>
          <w:lang w:val="en-US"/>
        </w:rPr>
        <w:t>3</w:t>
      </w:r>
      <w:r>
        <w:rPr>
          <w:rFonts w:ascii="Arial" w:hAnsi="Arial" w:cs="Arial"/>
          <w:sz w:val="22"/>
          <w:szCs w:val="22"/>
          <w:lang w:val="en-US"/>
        </w:rPr>
        <w:t xml:space="preserve"> &gt; 65%) associated with  mesic woodlands, wooded and open C</w:t>
      </w:r>
      <w:r>
        <w:rPr>
          <w:rFonts w:ascii="Arial" w:hAnsi="Arial" w:cs="Arial"/>
          <w:sz w:val="22"/>
          <w:szCs w:val="22"/>
          <w:vertAlign w:val="subscript"/>
          <w:lang w:val="en-US"/>
        </w:rPr>
        <w:t>3</w:t>
      </w:r>
      <w:r>
        <w:rPr>
          <w:rFonts w:ascii="Arial" w:hAnsi="Arial" w:cs="Arial"/>
          <w:sz w:val="22"/>
          <w:szCs w:val="22"/>
          <w:lang w:val="en-US"/>
        </w:rPr>
        <w:t xml:space="preserve"> grasslands, and C</w:t>
      </w:r>
      <w:r>
        <w:rPr>
          <w:rFonts w:ascii="Arial" w:hAnsi="Arial" w:cs="Arial"/>
          <w:sz w:val="22"/>
          <w:szCs w:val="22"/>
          <w:vertAlign w:val="subscript"/>
          <w:lang w:val="en-US"/>
        </w:rPr>
        <w:t>3</w:t>
      </w:r>
      <w:r>
        <w:rPr>
          <w:rFonts w:ascii="Arial" w:hAnsi="Arial" w:cs="Arial"/>
          <w:sz w:val="22"/>
          <w:szCs w:val="22"/>
          <w:lang w:val="en-US"/>
        </w:rPr>
        <w:t>-C</w:t>
      </w:r>
      <w:r>
        <w:rPr>
          <w:rFonts w:ascii="Arial" w:hAnsi="Arial" w:cs="Arial"/>
          <w:sz w:val="22"/>
          <w:szCs w:val="22"/>
          <w:vertAlign w:val="subscript"/>
          <w:lang w:val="en-US"/>
        </w:rPr>
        <w:t>4</w:t>
      </w:r>
      <w:r>
        <w:rPr>
          <w:rFonts w:ascii="Arial" w:hAnsi="Arial" w:cs="Arial"/>
          <w:sz w:val="22"/>
          <w:szCs w:val="22"/>
          <w:lang w:val="en-US"/>
        </w:rPr>
        <w:t xml:space="preserve"> open habitats (Table S4). Specimens from Andean localities, especially from the Pichincha province, showed the lowest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(−9.02±2.41 ‰) indicative of a significant consumption of C</w:t>
      </w:r>
      <w:r>
        <w:rPr>
          <w:rFonts w:ascii="Arial" w:hAnsi="Arial" w:cs="Arial"/>
          <w:sz w:val="22"/>
          <w:szCs w:val="22"/>
          <w:vertAlign w:val="subscript"/>
          <w:lang w:val="en-US"/>
        </w:rPr>
        <w:t>3</w:t>
      </w:r>
      <w:r>
        <w:rPr>
          <w:rFonts w:ascii="Arial" w:hAnsi="Arial" w:cs="Arial"/>
          <w:sz w:val="22"/>
          <w:szCs w:val="22"/>
          <w:lang w:val="en-US"/>
        </w:rPr>
        <w:t xml:space="preserve"> plants in forested landscapes, where some individuals may have had a specialized browser diet (C</w:t>
      </w:r>
      <w:r>
        <w:rPr>
          <w:rFonts w:ascii="Arial" w:hAnsi="Arial" w:cs="Arial"/>
          <w:sz w:val="22"/>
          <w:szCs w:val="22"/>
          <w:vertAlign w:val="subscript"/>
          <w:lang w:val="en-US"/>
        </w:rPr>
        <w:t>3</w:t>
      </w:r>
      <w:r>
        <w:rPr>
          <w:rFonts w:ascii="Arial" w:hAnsi="Arial" w:cs="Arial"/>
          <w:sz w:val="22"/>
          <w:szCs w:val="22"/>
          <w:lang w:val="en-US"/>
        </w:rPr>
        <w:t xml:space="preserve"> = 100%, </w:t>
      </w:r>
      <w:r>
        <w:rPr>
          <w:rFonts w:ascii="Arial" w:hAnsi="Arial" w:cs="Arial"/>
          <w:i/>
          <w:iCs/>
          <w:sz w:val="22"/>
          <w:szCs w:val="22"/>
          <w:lang w:val="en-US"/>
        </w:rPr>
        <w:t>B</w:t>
      </w:r>
      <w:r>
        <w:rPr>
          <w:rFonts w:ascii="Arial" w:hAnsi="Arial" w:cs="Arial"/>
          <w:i/>
          <w:iCs/>
          <w:sz w:val="22"/>
          <w:szCs w:val="22"/>
          <w:vertAlign w:val="subscript"/>
          <w:lang w:val="en-US"/>
        </w:rPr>
        <w:t>A</w:t>
      </w:r>
      <w:r>
        <w:rPr>
          <w:rFonts w:ascii="Arial" w:hAnsi="Arial" w:cs="Arial"/>
          <w:sz w:val="22"/>
          <w:szCs w:val="22"/>
          <w:lang w:val="en-US"/>
        </w:rPr>
        <w:t xml:space="preserve"> = 0). This is also indicative of  a mixed diet with higher proportions of C</w:t>
      </w:r>
      <w:r>
        <w:rPr>
          <w:rFonts w:ascii="Arial" w:hAnsi="Arial" w:cs="Arial"/>
          <w:sz w:val="22"/>
          <w:szCs w:val="22"/>
          <w:vertAlign w:val="subscript"/>
          <w:lang w:val="en-US"/>
        </w:rPr>
        <w:t>3</w:t>
      </w:r>
      <w:r>
        <w:rPr>
          <w:rFonts w:ascii="Arial" w:hAnsi="Arial" w:cs="Arial"/>
          <w:sz w:val="22"/>
          <w:szCs w:val="22"/>
          <w:lang w:val="en-US"/>
        </w:rPr>
        <w:t xml:space="preserve"> plants (means, </w:t>
      </w:r>
      <w:r>
        <w:rPr>
          <w:rFonts w:ascii="Arial" w:hAnsi="Arial" w:cs="Arial"/>
          <w:i/>
          <w:iCs/>
          <w:sz w:val="22"/>
          <w:szCs w:val="22"/>
          <w:lang w:val="en-US"/>
        </w:rPr>
        <w:t>pi</w:t>
      </w:r>
      <w:r>
        <w:rPr>
          <w:rFonts w:ascii="Arial" w:hAnsi="Arial" w:cs="Arial"/>
          <w:sz w:val="22"/>
          <w:szCs w:val="22"/>
          <w:lang w:val="en-US"/>
        </w:rPr>
        <w:t>C</w:t>
      </w:r>
      <w:r>
        <w:rPr>
          <w:rFonts w:ascii="Arial" w:hAnsi="Arial" w:cs="Arial"/>
          <w:sz w:val="22"/>
          <w:szCs w:val="22"/>
          <w:vertAlign w:val="subscript"/>
          <w:lang w:val="en-US"/>
        </w:rPr>
        <w:t>3</w:t>
      </w:r>
      <w:r>
        <w:rPr>
          <w:rFonts w:ascii="Arial" w:hAnsi="Arial" w:cs="Arial"/>
          <w:sz w:val="22"/>
          <w:szCs w:val="22"/>
          <w:lang w:val="en-US"/>
        </w:rPr>
        <w:t xml:space="preserve"> = 89% and </w:t>
      </w:r>
      <w:r>
        <w:rPr>
          <w:rFonts w:ascii="Arial" w:hAnsi="Arial" w:cs="Arial"/>
          <w:i/>
          <w:iCs/>
          <w:sz w:val="22"/>
          <w:szCs w:val="22"/>
          <w:lang w:val="en-US"/>
        </w:rPr>
        <w:t>pi</w:t>
      </w:r>
      <w:r>
        <w:rPr>
          <w:rFonts w:ascii="Arial" w:hAnsi="Arial" w:cs="Arial"/>
          <w:sz w:val="22"/>
          <w:szCs w:val="22"/>
          <w:lang w:val="en-US"/>
        </w:rPr>
        <w:t>C</w:t>
      </w:r>
      <w:r>
        <w:rPr>
          <w:rFonts w:ascii="Arial" w:hAnsi="Arial" w:cs="Arial"/>
          <w:sz w:val="22"/>
          <w:szCs w:val="22"/>
          <w:vertAlign w:val="subscript"/>
          <w:lang w:val="en-US"/>
        </w:rPr>
        <w:t>4</w:t>
      </w:r>
      <w:r>
        <w:rPr>
          <w:rFonts w:ascii="Arial" w:hAnsi="Arial" w:cs="Arial"/>
          <w:sz w:val="22"/>
          <w:szCs w:val="22"/>
          <w:lang w:val="en-US"/>
        </w:rPr>
        <w:t xml:space="preserve"> = 11%, </w:t>
      </w:r>
      <w:r>
        <w:rPr>
          <w:rFonts w:ascii="Arial" w:hAnsi="Arial" w:cs="Arial"/>
          <w:i/>
          <w:iCs/>
          <w:sz w:val="22"/>
          <w:szCs w:val="22"/>
          <w:lang w:val="en-US"/>
        </w:rPr>
        <w:t>B</w:t>
      </w:r>
      <w:r>
        <w:rPr>
          <w:rFonts w:ascii="Arial" w:hAnsi="Arial" w:cs="Arial"/>
          <w:i/>
          <w:iCs/>
          <w:sz w:val="22"/>
          <w:szCs w:val="22"/>
          <w:vertAlign w:val="subscript"/>
          <w:lang w:val="en-US"/>
        </w:rPr>
        <w:t>A</w:t>
      </w:r>
      <w:r>
        <w:rPr>
          <w:rFonts w:ascii="Arial" w:hAnsi="Arial" w:cs="Arial"/>
          <w:sz w:val="22"/>
          <w:szCs w:val="22"/>
          <w:lang w:val="en-US"/>
        </w:rPr>
        <w:t xml:space="preserve"> = 0.27) in wooded and open C</w:t>
      </w:r>
      <w:r>
        <w:rPr>
          <w:rFonts w:ascii="Arial" w:hAnsi="Arial" w:cs="Arial"/>
          <w:sz w:val="22"/>
          <w:szCs w:val="22"/>
          <w:vertAlign w:val="subscript"/>
          <w:lang w:val="en-US"/>
        </w:rPr>
        <w:t>3</w:t>
      </w:r>
      <w:r>
        <w:rPr>
          <w:rFonts w:ascii="Arial" w:hAnsi="Arial" w:cs="Arial"/>
          <w:sz w:val="22"/>
          <w:szCs w:val="22"/>
          <w:lang w:val="en-US"/>
        </w:rPr>
        <w:t>-C</w:t>
      </w:r>
      <w:r>
        <w:rPr>
          <w:rFonts w:ascii="Arial" w:hAnsi="Arial" w:cs="Arial"/>
          <w:sz w:val="22"/>
          <w:szCs w:val="22"/>
          <w:vertAlign w:val="subscript"/>
          <w:lang w:val="en-US"/>
        </w:rPr>
        <w:t>4</w:t>
      </w:r>
      <w:r>
        <w:rPr>
          <w:rFonts w:ascii="Arial" w:hAnsi="Arial" w:cs="Arial"/>
          <w:sz w:val="22"/>
          <w:szCs w:val="22"/>
          <w:lang w:val="en-US"/>
        </w:rPr>
        <w:t xml:space="preserve"> grasslands . On the other hand, specimens from coastal localities such as those from the Santa Elena province showed higher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(mean, −5.57±2.18 ‰) associated with a diet composed of large proportions of C</w:t>
      </w:r>
      <w:r>
        <w:rPr>
          <w:rFonts w:ascii="Arial" w:hAnsi="Arial" w:cs="Arial"/>
          <w:sz w:val="22"/>
          <w:szCs w:val="22"/>
          <w:vertAlign w:val="subscript"/>
          <w:lang w:val="en-US"/>
        </w:rPr>
        <w:t>4</w:t>
      </w:r>
      <w:r>
        <w:rPr>
          <w:rFonts w:ascii="Arial" w:hAnsi="Arial" w:cs="Arial"/>
          <w:sz w:val="22"/>
          <w:szCs w:val="22"/>
          <w:lang w:val="en-US"/>
        </w:rPr>
        <w:t xml:space="preserve"> plant resources in mixed </w:t>
      </w:r>
      <w:r>
        <w:rPr>
          <w:rFonts w:ascii="Arial" w:hAnsi="Arial" w:eastAsia="Times New Roman" w:cs="Arial"/>
          <w:sz w:val="22"/>
          <w:szCs w:val="22"/>
          <w:lang w:val="en-US" w:eastAsia="pt-BR"/>
        </w:rPr>
        <w:t>C</w:t>
      </w:r>
      <w:r>
        <w:rPr>
          <w:rFonts w:ascii="Arial" w:hAnsi="Arial" w:eastAsia="Times New Roman" w:cs="Arial"/>
          <w:sz w:val="22"/>
          <w:szCs w:val="22"/>
          <w:vertAlign w:val="subscript"/>
          <w:lang w:val="en-US" w:eastAsia="pt-BR"/>
        </w:rPr>
        <w:t>3</w:t>
      </w:r>
      <w:r>
        <w:rPr>
          <w:rFonts w:ascii="Arial" w:hAnsi="Arial" w:eastAsia="Times New Roman" w:cs="Arial"/>
          <w:sz w:val="22"/>
          <w:szCs w:val="22"/>
          <w:lang w:val="en-US" w:eastAsia="pt-BR"/>
        </w:rPr>
        <w:t>/C</w:t>
      </w:r>
      <w:r>
        <w:rPr>
          <w:rFonts w:ascii="Arial" w:hAnsi="Arial" w:eastAsia="Times New Roman" w:cs="Arial"/>
          <w:sz w:val="22"/>
          <w:szCs w:val="22"/>
          <w:vertAlign w:val="subscript"/>
          <w:lang w:val="en-US" w:eastAsia="pt-BR"/>
        </w:rPr>
        <w:t>4</w:t>
      </w:r>
      <w:r>
        <w:rPr>
          <w:rFonts w:ascii="Arial" w:hAnsi="Arial" w:eastAsia="Times New Roman" w:cs="Arial"/>
          <w:sz w:val="22"/>
          <w:szCs w:val="22"/>
          <w:lang w:val="en-US" w:eastAsia="pt-BR"/>
        </w:rPr>
        <w:t xml:space="preserve"> habitats </w:t>
      </w:r>
      <w:r>
        <w:rPr>
          <w:rFonts w:ascii="Arial" w:hAnsi="Arial" w:cs="Arial"/>
          <w:sz w:val="22"/>
          <w:szCs w:val="22"/>
          <w:lang w:val="en-US"/>
        </w:rPr>
        <w:t xml:space="preserve">(means, </w:t>
      </w:r>
      <w:r>
        <w:rPr>
          <w:rFonts w:ascii="Arial" w:hAnsi="Arial" w:cs="Arial"/>
          <w:i/>
          <w:iCs/>
          <w:sz w:val="22"/>
          <w:szCs w:val="22"/>
          <w:lang w:val="en-US"/>
        </w:rPr>
        <w:t>pi</w:t>
      </w:r>
      <w:r>
        <w:rPr>
          <w:rFonts w:ascii="Arial" w:hAnsi="Arial" w:cs="Arial"/>
          <w:sz w:val="22"/>
          <w:szCs w:val="22"/>
          <w:lang w:val="en-US"/>
        </w:rPr>
        <w:t>C</w:t>
      </w:r>
      <w:r>
        <w:rPr>
          <w:rFonts w:ascii="Arial" w:hAnsi="Arial" w:cs="Arial"/>
          <w:sz w:val="22"/>
          <w:szCs w:val="22"/>
          <w:vertAlign w:val="subscript"/>
          <w:lang w:val="en-US"/>
        </w:rPr>
        <w:t>3</w:t>
      </w:r>
      <w:r>
        <w:rPr>
          <w:rFonts w:ascii="Arial" w:hAnsi="Arial" w:cs="Arial"/>
          <w:sz w:val="22"/>
          <w:szCs w:val="22"/>
          <w:lang w:val="en-US"/>
        </w:rPr>
        <w:t xml:space="preserve"> = 65% and </w:t>
      </w:r>
      <w:r>
        <w:rPr>
          <w:rFonts w:ascii="Arial" w:hAnsi="Arial" w:cs="Arial"/>
          <w:i/>
          <w:iCs/>
          <w:sz w:val="22"/>
          <w:szCs w:val="22"/>
          <w:lang w:val="en-US"/>
        </w:rPr>
        <w:t>pi</w:t>
      </w:r>
      <w:r>
        <w:rPr>
          <w:rFonts w:ascii="Arial" w:hAnsi="Arial" w:cs="Arial"/>
          <w:sz w:val="22"/>
          <w:szCs w:val="22"/>
          <w:lang w:val="en-US"/>
        </w:rPr>
        <w:t>C</w:t>
      </w:r>
      <w:r>
        <w:rPr>
          <w:rFonts w:ascii="Arial" w:hAnsi="Arial" w:cs="Arial"/>
          <w:sz w:val="22"/>
          <w:szCs w:val="22"/>
          <w:vertAlign w:val="subscript"/>
          <w:lang w:val="en-US"/>
        </w:rPr>
        <w:t>4</w:t>
      </w:r>
      <w:r>
        <w:rPr>
          <w:rFonts w:ascii="Arial" w:hAnsi="Arial" w:cs="Arial"/>
          <w:sz w:val="22"/>
          <w:szCs w:val="22"/>
          <w:lang w:val="en-US"/>
        </w:rPr>
        <w:t xml:space="preserve"> = 35%, </w:t>
      </w:r>
      <w:r>
        <w:rPr>
          <w:rFonts w:ascii="Arial" w:hAnsi="Arial" w:cs="Arial"/>
          <w:i/>
          <w:iCs/>
          <w:sz w:val="22"/>
          <w:szCs w:val="22"/>
          <w:lang w:val="en-US"/>
        </w:rPr>
        <w:t>B</w:t>
      </w:r>
      <w:r>
        <w:rPr>
          <w:rFonts w:ascii="Arial" w:hAnsi="Arial" w:cs="Arial"/>
          <w:i/>
          <w:iCs/>
          <w:sz w:val="22"/>
          <w:szCs w:val="22"/>
          <w:vertAlign w:val="subscript"/>
          <w:lang w:val="en-US"/>
        </w:rPr>
        <w:t>A</w:t>
      </w:r>
      <w:r>
        <w:rPr>
          <w:rFonts w:ascii="Arial" w:hAnsi="Arial" w:cs="Arial"/>
          <w:sz w:val="22"/>
          <w:szCs w:val="22"/>
          <w:lang w:val="en-US"/>
        </w:rPr>
        <w:t xml:space="preserve"> = 0.73) (Table S4).</w:t>
      </w:r>
    </w:p>
    <w:p w14:paraId="76B1B940">
      <w:pPr>
        <w:rPr>
          <w:rFonts w:ascii="Arial" w:hAnsi="Arial" w:cs="Arial"/>
          <w:sz w:val="22"/>
          <w:szCs w:val="22"/>
          <w:lang w:val="en-US"/>
        </w:rPr>
      </w:pPr>
    </w:p>
    <w:p w14:paraId="327B4825">
      <w:pPr>
        <w:rPr>
          <w:rFonts w:ascii="Arial" w:hAnsi="Arial" w:cs="Arial"/>
          <w:i/>
          <w:iCs/>
          <w:sz w:val="22"/>
          <w:szCs w:val="22"/>
          <w:lang w:val="en-US"/>
        </w:rPr>
      </w:pPr>
      <w:r>
        <w:rPr>
          <w:rFonts w:ascii="Arial" w:hAnsi="Arial" w:cs="Arial"/>
          <w:sz w:val="22"/>
          <w:szCs w:val="22"/>
          <w:lang w:val="en-US"/>
        </w:rPr>
        <w:t xml:space="preserve">3.4. </w:t>
      </w:r>
      <w:r>
        <w:rPr>
          <w:rFonts w:ascii="Arial" w:hAnsi="Arial" w:cs="Arial"/>
          <w:i/>
          <w:iCs/>
          <w:sz w:val="22"/>
          <w:szCs w:val="22"/>
          <w:lang w:val="en-US"/>
        </w:rPr>
        <w:t xml:space="preserve">Altitudinal gradient from the </w:t>
      </w:r>
      <w:r>
        <w:rPr>
          <w:rFonts w:ascii="Arial" w:hAnsi="Arial" w:cs="Arial"/>
          <w:i/>
          <w:iCs/>
          <w:sz w:val="22"/>
          <w:szCs w:val="22"/>
        </w:rPr>
        <w:t>δ</w:t>
      </w:r>
      <w:r>
        <w:rPr>
          <w:rFonts w:ascii="Arial" w:hAnsi="Arial" w:cs="Arial"/>
          <w:i/>
          <w:iCs/>
          <w:sz w:val="22"/>
          <w:szCs w:val="22"/>
          <w:vertAlign w:val="superscript"/>
          <w:lang w:val="en-US"/>
        </w:rPr>
        <w:t>18</w:t>
      </w:r>
      <w:r>
        <w:rPr>
          <w:rFonts w:ascii="Arial" w:hAnsi="Arial" w:cs="Arial"/>
          <w:i/>
          <w:iCs/>
          <w:sz w:val="22"/>
          <w:szCs w:val="22"/>
          <w:lang w:val="en-US"/>
        </w:rPr>
        <w:t>O values</w:t>
      </w:r>
    </w:p>
    <w:p w14:paraId="104B24BF">
      <w:pPr>
        <w:rPr>
          <w:rFonts w:ascii="Arial" w:hAnsi="Arial" w:cs="Arial"/>
          <w:i/>
          <w:iCs/>
          <w:sz w:val="22"/>
          <w:szCs w:val="22"/>
          <w:lang w:val="en-US"/>
        </w:rPr>
      </w:pPr>
    </w:p>
    <w:p w14:paraId="7C02A673">
      <w:pPr>
        <w:spacing w:line="480" w:lineRule="auto"/>
        <w:rPr>
          <w:rFonts w:ascii="Arial" w:hAnsi="Arial" w:cs="Arial"/>
          <w:sz w:val="22"/>
          <w:szCs w:val="22"/>
          <w:lang w:val="en-US"/>
        </w:rPr>
      </w:pPr>
      <w:r>
        <w:rPr>
          <w:rFonts w:ascii="Arial" w:hAnsi="Arial" w:cs="Arial"/>
          <w:sz w:val="22"/>
          <w:szCs w:val="22"/>
          <w:lang w:val="en-US"/>
        </w:rPr>
        <w:t xml:space="preserve">A statistical summary of the </w:t>
      </w:r>
      <w:r>
        <w:rPr>
          <w:rFonts w:ascii="Arial" w:hAnsi="Arial" w:cs="Arial"/>
          <w:sz w:val="22"/>
          <w:szCs w:val="22"/>
          <w:lang w:val="es-CL"/>
        </w:rPr>
        <w:t>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values calculated from gomphothere molars ​​can be seen in Table S5. A strong negative correlation was found between </w:t>
      </w:r>
      <w:r>
        <w:rPr>
          <w:rFonts w:ascii="Arial" w:hAnsi="Arial" w:cs="Arial"/>
          <w:sz w:val="22"/>
          <w:szCs w:val="22"/>
          <w:lang w:val="es-CL"/>
        </w:rPr>
        <w:t>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and altitude, suggesting decreasing </w:t>
      </w:r>
      <w:r>
        <w:rPr>
          <w:rFonts w:ascii="Arial" w:hAnsi="Arial" w:cs="Arial"/>
          <w:sz w:val="22"/>
          <w:szCs w:val="22"/>
          <w:lang w:val="es-CL"/>
        </w:rPr>
        <w:t>δ</w:t>
      </w:r>
      <w:r>
        <w:rPr>
          <w:rFonts w:ascii="Arial" w:hAnsi="Arial" w:cs="Arial"/>
          <w:sz w:val="22"/>
          <w:szCs w:val="22"/>
          <w:vertAlign w:val="superscript"/>
          <w:lang w:val="en-US"/>
        </w:rPr>
        <w:t>18</w:t>
      </w:r>
      <w:r>
        <w:rPr>
          <w:rFonts w:ascii="Arial" w:hAnsi="Arial" w:cs="Arial"/>
          <w:sz w:val="22"/>
          <w:szCs w:val="22"/>
          <w:lang w:val="en-US"/>
        </w:rPr>
        <w:t>O values with increasing elevation, consistent with expected precipitation patterns (p-value &lt; 0.055, rho = –0.752). The isotopic gradient of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with altitude was calculated using a linear regression (R² = 0.755, p &lt; 0.001), yielding a value of –0.30‰ per 100 m. A Kruskal-Wallis test was conducted to assess differences in δ</w:t>
      </w:r>
      <w:r>
        <w:rPr>
          <w:rFonts w:ascii="Arial" w:hAnsi="Arial" w:cs="Arial"/>
          <w:sz w:val="22"/>
          <w:szCs w:val="22"/>
          <w:vertAlign w:val="superscript"/>
          <w:lang w:val="en-US"/>
        </w:rPr>
        <w:t>18</w:t>
      </w:r>
      <w:r>
        <w:rPr>
          <w:rFonts w:ascii="Arial" w:hAnsi="Arial" w:cs="Arial"/>
          <w:sz w:val="22"/>
          <w:szCs w:val="22"/>
          <w:lang w:val="en-US"/>
        </w:rPr>
        <w:t>O values in modern water across localities. The results indicate no statistically significant differences between localities (χ² = 29, Df = 29, p = 0.4651), suggesting similar δ</w:t>
      </w:r>
      <w:r>
        <w:rPr>
          <w:rFonts w:ascii="Arial" w:hAnsi="Arial" w:cs="Arial"/>
          <w:sz w:val="22"/>
          <w:szCs w:val="22"/>
          <w:vertAlign w:val="superscript"/>
          <w:lang w:val="en-US"/>
        </w:rPr>
        <w:t>18</w:t>
      </w:r>
      <w:r>
        <w:rPr>
          <w:rFonts w:ascii="Arial" w:hAnsi="Arial" w:cs="Arial"/>
          <w:sz w:val="22"/>
          <w:szCs w:val="22"/>
          <w:lang w:val="en-US"/>
        </w:rPr>
        <w:t xml:space="preserve">O distributions among sampling stations (Figure 3). </w:t>
      </w:r>
    </w:p>
    <w:p w14:paraId="196166DF">
      <w:pPr>
        <w:spacing w:line="480" w:lineRule="auto"/>
        <w:rPr>
          <w:rFonts w:ascii="Arial" w:hAnsi="Arial" w:cs="Arial"/>
          <w:sz w:val="22"/>
          <w:szCs w:val="22"/>
          <w:lang w:val="en-US"/>
        </w:rPr>
      </w:pPr>
    </w:p>
    <w:p w14:paraId="38AEA7B9">
      <w:pPr>
        <w:spacing w:line="480" w:lineRule="auto"/>
        <w:rPr>
          <w:rFonts w:ascii="Arial" w:hAnsi="Arial" w:cs="Arial"/>
          <w:i/>
          <w:iCs/>
          <w:sz w:val="22"/>
          <w:szCs w:val="22"/>
          <w:lang w:val="en-US"/>
        </w:rPr>
      </w:pPr>
      <w:r>
        <w:rPr>
          <w:rFonts w:ascii="Arial" w:hAnsi="Arial" w:cs="Arial"/>
          <w:sz w:val="22"/>
          <w:szCs w:val="22"/>
          <w:lang w:val="en-US"/>
        </w:rPr>
        <w:t xml:space="preserve">3.4. </w:t>
      </w:r>
      <w:r>
        <w:rPr>
          <w:rFonts w:ascii="Arial" w:hAnsi="Arial" w:cs="Arial"/>
          <w:i/>
          <w:iCs/>
          <w:sz w:val="22"/>
          <w:szCs w:val="22"/>
          <w:lang w:val="en-US"/>
        </w:rPr>
        <w:t>Dental Microwear Analysis</w:t>
      </w:r>
    </w:p>
    <w:p w14:paraId="3E205D6E">
      <w:pPr>
        <w:spacing w:line="480" w:lineRule="auto"/>
        <w:rPr>
          <w:rFonts w:ascii="Arial" w:hAnsi="Arial" w:cs="Arial"/>
          <w:sz w:val="22"/>
          <w:szCs w:val="22"/>
          <w:lang w:val="en-US"/>
        </w:rPr>
      </w:pPr>
      <w:r>
        <w:rPr>
          <w:rFonts w:ascii="Arial" w:hAnsi="Arial" w:cs="Arial"/>
          <w:sz w:val="22"/>
          <w:szCs w:val="22"/>
          <w:lang w:val="en-US"/>
        </w:rPr>
        <w:t>All Ecuadorian gomphotheres analyzed exhibit a consistent dietary signal, pointing to grazing or grass dominated mixed feeding (Figure 4). The twenty-one individuals examined display a higher number of scratches than pits (Table S2). When comparing the two geographic ranges, coastal and Andean, the average number of pits is virtually identical in both provinces: 11.7 in the coastal localities (Santa Elena and Manabí) and 11.9 in the Andean localities (Pichincha, Cotopaxi, and Chimborazo). Differences are more pronounced in the average number of scratches: 21.7 in the coast (Santa Elena and Manabí) compared to 16.6 in the Andes (Pichincha, Cotopaxi, and Chimborazo). This contrast suggests that gomphotheres in the coastal lowlands consumed a more abrasive diet. All specimens exhibit hypercoarse scratches, large pits, cross scratches, gouges, and puncture pits (except specimen V-6130) (Table S2).</w:t>
      </w:r>
    </w:p>
    <w:p w14:paraId="4A3A1B0F">
      <w:pPr>
        <w:spacing w:line="480" w:lineRule="auto"/>
        <w:rPr>
          <w:rFonts w:ascii="Arial" w:hAnsi="Arial" w:cs="Arial"/>
          <w:sz w:val="22"/>
          <w:szCs w:val="22"/>
          <w:lang w:val="en-US"/>
        </w:rPr>
      </w:pPr>
    </w:p>
    <w:p w14:paraId="0A6198B6">
      <w:pPr>
        <w:spacing w:line="480" w:lineRule="auto"/>
        <w:rPr>
          <w:rFonts w:ascii="Arial" w:hAnsi="Arial" w:cs="Arial"/>
          <w:sz w:val="22"/>
          <w:szCs w:val="22"/>
          <w:lang w:val="en-US"/>
        </w:rPr>
      </w:pPr>
      <w:r>
        <w:rPr>
          <w:rFonts w:ascii="Arial" w:hAnsi="Arial" w:cs="Arial"/>
          <w:sz w:val="22"/>
          <w:szCs w:val="22"/>
          <w:lang w:val="en-US"/>
        </w:rPr>
        <w:t xml:space="preserve">3.4. </w:t>
      </w:r>
      <w:r>
        <w:rPr>
          <w:rFonts w:ascii="Arial" w:hAnsi="Arial" w:cs="Arial"/>
          <w:i/>
          <w:iCs/>
          <w:sz w:val="22"/>
          <w:szCs w:val="22"/>
          <w:lang w:val="en-US"/>
        </w:rPr>
        <w:t>Radiocarbon dating</w:t>
      </w:r>
    </w:p>
    <w:p w14:paraId="5D2C39AF">
      <w:pPr>
        <w:spacing w:line="480" w:lineRule="auto"/>
        <w:rPr>
          <w:rFonts w:ascii="Arial" w:hAnsi="Arial" w:cs="Arial"/>
          <w:sz w:val="22"/>
          <w:szCs w:val="22"/>
          <w:lang w:val="en-US"/>
        </w:rPr>
      </w:pPr>
    </w:p>
    <w:p w14:paraId="673941EB">
      <w:pPr>
        <w:spacing w:line="480" w:lineRule="auto"/>
        <w:rPr>
          <w:rFonts w:ascii="Arial" w:hAnsi="Arial" w:cs="Arial"/>
          <w:sz w:val="22"/>
          <w:szCs w:val="22"/>
          <w:lang w:val="en-US"/>
        </w:rPr>
      </w:pPr>
      <w:r>
        <w:rPr>
          <w:rFonts w:ascii="Arial" w:hAnsi="Arial" w:cs="Arial"/>
          <w:sz w:val="22"/>
          <w:szCs w:val="22"/>
          <w:lang w:val="en-US"/>
        </w:rPr>
        <w:t xml:space="preserve">Radiocarbon dating results are summarized in Table 1. Dates were calibrated using the program Calib 8.0 (Stuvier and Reimer 2020) and the SH20 calibration curve (Hogg et al. 2020). Dates are reported as calibrated years Before Present (cal yr BP). </w:t>
      </w:r>
    </w:p>
    <w:p w14:paraId="59196CC5">
      <w:pPr>
        <w:spacing w:line="480" w:lineRule="auto"/>
        <w:rPr>
          <w:rFonts w:ascii="Arial" w:hAnsi="Arial" w:cs="Arial"/>
          <w:sz w:val="22"/>
          <w:szCs w:val="22"/>
          <w:lang w:val="en-US"/>
        </w:rPr>
      </w:pPr>
      <w:r>
        <w:rPr>
          <w:rFonts w:ascii="Arial" w:hAnsi="Arial" w:cs="Arial"/>
          <w:sz w:val="22"/>
          <w:szCs w:val="22"/>
          <w:lang w:val="en-US"/>
        </w:rPr>
        <w:t>All calibrated dates fall into the late Pleistocene, with the oldest one coming from Quebrada Colorada, Chimborazo (31,820 cal yr BP) and the youngest from</w:t>
      </w:r>
      <w:r>
        <w:t xml:space="preserve"> </w:t>
      </w:r>
      <w:r>
        <w:rPr>
          <w:rFonts w:ascii="Arial" w:hAnsi="Arial" w:cs="Arial"/>
          <w:sz w:val="22"/>
          <w:szCs w:val="22"/>
          <w:lang w:val="en-US"/>
        </w:rPr>
        <w:t xml:space="preserve">Pedro Pablo Gómez, Manabí (23,830 cal yr BP). It is important, however, </w:t>
      </w:r>
      <w:r>
        <w:rPr>
          <w:rFonts w:ascii="Arial" w:hAnsi="Arial" w:cs="Arial"/>
          <w:sz w:val="22"/>
          <w:szCs w:val="22"/>
        </w:rPr>
        <w:t>to note that there is</w:t>
      </w:r>
      <w:r>
        <w:t xml:space="preserve"> </w:t>
      </w:r>
      <w:r>
        <w:rPr>
          <w:rFonts w:ascii="Arial" w:hAnsi="Arial" w:cs="Arial"/>
          <w:sz w:val="22"/>
          <w:szCs w:val="22"/>
        </w:rPr>
        <w:t>broad agreement</w:t>
      </w:r>
      <w:r>
        <w:rPr>
          <w:rFonts w:ascii="Arial" w:hAnsi="Arial" w:cs="Arial"/>
          <w:sz w:val="22"/>
          <w:szCs w:val="22"/>
          <w:lang w:val="en-US"/>
        </w:rPr>
        <w:t xml:space="preserve"> in the literature that radiocarbon analyses conducted on bioapatite frequently result in younger age estimates than those derived from bone collagen. </w:t>
      </w:r>
      <w:r>
        <w:rPr>
          <w:rFonts w:ascii="Arial" w:hAnsi="Arial" w:cs="Arial"/>
          <w:sz w:val="22"/>
          <w:szCs w:val="22"/>
        </w:rPr>
        <w:t>Considering the scarcity of radiocarbon dates for extinct megafauna from Ecuador</w:t>
      </w:r>
      <w:r>
        <w:rPr>
          <w:rFonts w:ascii="Arial" w:hAnsi="Arial" w:cs="Arial"/>
          <w:sz w:val="22"/>
          <w:szCs w:val="22"/>
          <w:lang w:val="en-US"/>
        </w:rPr>
        <w:t xml:space="preserve">, and acknowledging the limitations of our dating approach, the new dates presented here show a good agreement with previously published results. This consistency is evident, for example, at the site of Tanque Loma in the coastal region, where Lindsey and Lopez 2015 reported three radiocarbon dates obtained from bone collagen.  Two of these correspond to different specimens of </w:t>
      </w:r>
      <w:r>
        <w:rPr>
          <w:rFonts w:ascii="Arial" w:hAnsi="Arial" w:cs="Arial"/>
          <w:i/>
          <w:iCs/>
          <w:sz w:val="22"/>
          <w:szCs w:val="22"/>
          <w:lang w:val="en-US"/>
        </w:rPr>
        <w:t>Notiomastodon platensis</w:t>
      </w:r>
      <w:r>
        <w:rPr>
          <w:rFonts w:ascii="Arial" w:hAnsi="Arial" w:cs="Arial"/>
          <w:sz w:val="22"/>
          <w:szCs w:val="22"/>
          <w:lang w:val="en-US"/>
        </w:rPr>
        <w:t>, and fall within the late Pleistocene: 20,750 cal yr BP (CAMS160800: 17,170±920) and 23,010 cal yr BP (CAMS 160801: 19,110±1260).</w:t>
      </w:r>
      <w:r>
        <w:t xml:space="preserve"> </w:t>
      </w:r>
      <w:r>
        <w:rPr>
          <w:rFonts w:ascii="Arial" w:hAnsi="Arial" w:cs="Arial"/>
          <w:sz w:val="22"/>
          <w:szCs w:val="22"/>
          <w:lang w:val="en-US"/>
        </w:rPr>
        <w:t xml:space="preserve">The third date, corresponding to the giant ground sloth </w:t>
      </w:r>
      <w:r>
        <w:rPr>
          <w:rFonts w:ascii="Arial" w:hAnsi="Arial" w:cs="Arial"/>
          <w:i/>
          <w:iCs/>
          <w:sz w:val="22"/>
          <w:szCs w:val="22"/>
          <w:lang w:val="en-US"/>
        </w:rPr>
        <w:t>Eremotherium laurillardi</w:t>
      </w:r>
      <w:r>
        <w:rPr>
          <w:rFonts w:ascii="Arial" w:hAnsi="Arial" w:cs="Arial"/>
          <w:sz w:val="22"/>
          <w:szCs w:val="22"/>
          <w:lang w:val="en-US"/>
        </w:rPr>
        <w:t xml:space="preserve">, is older (27,680 cal yr BP; CAMS-147211: 23,560 ± 180 ¹⁴C yr BP). Additional radiocarbon dates have been reported for the northern Andean region, specifically from Quebrada Cuesaca and Quebrada Pistud (Coltorti et al. 1998). Although this study does not provide lab numbers, dating method, or material dated (they only refer to “bone”), it reports one date for </w:t>
      </w:r>
      <w:r>
        <w:rPr>
          <w:rFonts w:ascii="Arial" w:hAnsi="Arial" w:cs="Arial"/>
          <w:i/>
          <w:iCs/>
          <w:sz w:val="22"/>
          <w:szCs w:val="22"/>
          <w:lang w:val="en-US"/>
        </w:rPr>
        <w:t>Notiomastodon platensis</w:t>
      </w:r>
      <w:r>
        <w:rPr>
          <w:rFonts w:ascii="Arial" w:hAnsi="Arial" w:cs="Arial"/>
          <w:sz w:val="22"/>
          <w:szCs w:val="22"/>
          <w:lang w:val="en-US"/>
        </w:rPr>
        <w:t xml:space="preserve"> (20,100 cal yr BP, ¹⁴C age: 16,670±80) and another one for </w:t>
      </w:r>
      <w:r>
        <w:rPr>
          <w:rFonts w:ascii="Arial" w:hAnsi="Arial" w:cs="Arial"/>
          <w:i/>
          <w:iCs/>
          <w:sz w:val="22"/>
          <w:szCs w:val="22"/>
          <w:lang w:val="en-US"/>
        </w:rPr>
        <w:t>Glossotherium wegneri</w:t>
      </w:r>
      <w:r>
        <w:rPr>
          <w:rFonts w:ascii="Arial" w:hAnsi="Arial" w:cs="Arial"/>
          <w:sz w:val="22"/>
          <w:szCs w:val="22"/>
          <w:lang w:val="en-US"/>
        </w:rPr>
        <w:t xml:space="preserve"> (14,330 cal yr BP, ¹⁴C age: 12,350±70). These two, while younger than our new reported dates, still fall within the late Pleistocene. Finally, although conversion methods have been proposed to adjust bioapatite radiocarbon dates to collagen-equivalent ages (e.g., Dantas and Cherkinsky, 2023), we opted to report bioapatite dates without applying such conversions. This decision reflects the wide range of environmental settings considered in this study, as well as the fact that existing conversion models are based on relatively limited datasets and are calibrated for specific environmental conditions.</w:t>
      </w:r>
    </w:p>
    <w:p w14:paraId="59BECC50">
      <w:pPr>
        <w:spacing w:line="480" w:lineRule="auto"/>
        <w:rPr>
          <w:rFonts w:ascii="Arial" w:hAnsi="Arial" w:cs="Arial"/>
          <w:sz w:val="22"/>
          <w:szCs w:val="22"/>
          <w:lang w:val="en-US"/>
        </w:rPr>
      </w:pPr>
      <w:r>
        <w:rPr>
          <w:rFonts w:ascii="Arial" w:hAnsi="Arial" w:cs="Arial"/>
          <w:sz w:val="22"/>
          <w:szCs w:val="22"/>
          <w:lang w:val="en-US"/>
        </w:rPr>
        <w:t>Finally, although conversion methods have been proposed to convert bioapatite radiocarbon dates to collagen-equivalent ages (Dantas and Cherkinsky 2023) we decided to report bioapatite dates without any conversion. This decision is based on the diversity of environments considered in this study, as well as the fact that existing conversion methods are based on relatively small datasets and are calibrated for specific types of environments.</w:t>
      </w:r>
    </w:p>
    <w:p w14:paraId="3A947D37">
      <w:pPr>
        <w:rPr>
          <w:rFonts w:ascii="Arial" w:hAnsi="Arial" w:cs="Arial"/>
          <w:b/>
          <w:bCs/>
          <w:sz w:val="22"/>
          <w:szCs w:val="22"/>
          <w:lang w:val="en-US"/>
        </w:rPr>
      </w:pPr>
    </w:p>
    <w:p w14:paraId="1C416169">
      <w:pPr>
        <w:rPr>
          <w:rFonts w:ascii="Arial" w:hAnsi="Arial" w:cs="Arial"/>
          <w:b/>
          <w:bCs/>
          <w:sz w:val="22"/>
          <w:szCs w:val="22"/>
          <w:lang w:val="en-US"/>
        </w:rPr>
      </w:pPr>
      <w:r>
        <w:rPr>
          <w:rFonts w:ascii="Arial" w:hAnsi="Arial" w:cs="Arial"/>
          <w:b/>
          <w:bCs/>
          <w:sz w:val="22"/>
          <w:szCs w:val="22"/>
          <w:lang w:val="en-US"/>
        </w:rPr>
        <w:t>4. Discussion</w:t>
      </w:r>
    </w:p>
    <w:p w14:paraId="049A6883">
      <w:pPr>
        <w:rPr>
          <w:rFonts w:ascii="Arial" w:hAnsi="Arial" w:cs="Arial"/>
          <w:b/>
          <w:bCs/>
          <w:sz w:val="22"/>
          <w:szCs w:val="22"/>
          <w:lang w:val="en-US"/>
        </w:rPr>
      </w:pPr>
    </w:p>
    <w:p w14:paraId="369F79C3">
      <w:pPr>
        <w:rPr>
          <w:rFonts w:ascii="Arial" w:hAnsi="Arial" w:cs="Arial"/>
          <w:sz w:val="22"/>
          <w:szCs w:val="22"/>
          <w:lang w:val="en-US"/>
        </w:rPr>
      </w:pPr>
    </w:p>
    <w:p w14:paraId="61132AC7">
      <w:pPr>
        <w:rPr>
          <w:rFonts w:ascii="Arial" w:hAnsi="Arial" w:cs="Arial"/>
          <w:i/>
          <w:iCs/>
          <w:sz w:val="22"/>
          <w:szCs w:val="22"/>
          <w:lang w:val="en-US"/>
        </w:rPr>
      </w:pPr>
      <w:r>
        <w:rPr>
          <w:rFonts w:ascii="Arial" w:hAnsi="Arial" w:cs="Arial"/>
          <w:i/>
          <w:iCs/>
          <w:sz w:val="22"/>
          <w:szCs w:val="22"/>
          <w:lang w:val="en-US"/>
        </w:rPr>
        <w:t>4.1. Paleoenvironmental pattern</w:t>
      </w:r>
    </w:p>
    <w:p w14:paraId="519F623E">
      <w:pPr>
        <w:rPr>
          <w:rFonts w:ascii="Arial" w:hAnsi="Arial" w:cs="Arial"/>
          <w:i/>
          <w:iCs/>
          <w:sz w:val="22"/>
          <w:szCs w:val="22"/>
          <w:lang w:val="en-US"/>
        </w:rPr>
      </w:pPr>
    </w:p>
    <w:p w14:paraId="0283982D">
      <w:pPr>
        <w:rPr>
          <w:rFonts w:ascii="Arial" w:hAnsi="Arial" w:cs="Arial"/>
          <w:sz w:val="22"/>
          <w:szCs w:val="22"/>
          <w:lang w:val="en-US"/>
        </w:rPr>
      </w:pPr>
    </w:p>
    <w:p w14:paraId="26296524">
      <w:pPr>
        <w:spacing w:line="480" w:lineRule="auto"/>
        <w:rPr>
          <w:rFonts w:ascii="Arial" w:hAnsi="Arial" w:cs="Arial"/>
          <w:sz w:val="22"/>
          <w:szCs w:val="22"/>
          <w:lang w:val="en-US"/>
        </w:rPr>
      </w:pPr>
      <w:r>
        <w:rPr>
          <w:rFonts w:ascii="Arial" w:hAnsi="Arial" w:cs="Arial"/>
          <w:sz w:val="22"/>
          <w:szCs w:val="22"/>
          <w:lang w:val="en-US"/>
        </w:rPr>
        <w:t>Regarding the vegetation cover, the environmental ranges established by stable isotopes indicate that gomphotheres in Ecuador inhabited a wide variety of environments (from –14.82‰ to –0.78‰). However, there was a trend towards using more open (only grasses) and mixed environments (both grasses and shrubs) (Figure 2). The mean value of the entire dataset indicates wooded C</w:t>
      </w:r>
      <w:r>
        <w:rPr>
          <w:rFonts w:ascii="Arial" w:hAnsi="Arial" w:cs="Arial"/>
          <w:sz w:val="22"/>
          <w:szCs w:val="22"/>
          <w:vertAlign w:val="subscript"/>
          <w:lang w:val="en-US"/>
        </w:rPr>
        <w:t>3</w:t>
      </w:r>
      <w:r>
        <w:rPr>
          <w:rFonts w:ascii="Arial" w:hAnsi="Arial" w:cs="Arial"/>
          <w:sz w:val="22"/>
          <w:szCs w:val="22"/>
          <w:lang w:val="en-US"/>
        </w:rPr>
        <w:t xml:space="preserve"> grassland to open, arid C</w:t>
      </w:r>
      <w:r>
        <w:rPr>
          <w:rFonts w:ascii="Arial" w:hAnsi="Arial" w:cs="Arial"/>
          <w:sz w:val="22"/>
          <w:szCs w:val="22"/>
          <w:vertAlign w:val="subscript"/>
          <w:lang w:val="en-US"/>
        </w:rPr>
        <w:t>3</w:t>
      </w:r>
      <w:r>
        <w:rPr>
          <w:rFonts w:ascii="Arial" w:hAnsi="Arial" w:cs="Arial"/>
          <w:sz w:val="22"/>
          <w:szCs w:val="22"/>
          <w:lang w:val="en-US"/>
        </w:rPr>
        <w:t xml:space="preserve"> grassland environments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 –7.55 ± 2.5‰; Figure 5).  These results contrast drastically with gomphotheres from the southern cone of South America: the diet of Chilean gomphotheres was quite different as they ate mostly forest elements (González-Guarda et al. 2025). When applying the enrichment value (Ɛ</w:t>
      </w:r>
      <w:r>
        <w:rPr>
          <w:rFonts w:ascii="Arial" w:hAnsi="Arial" w:cs="Arial"/>
          <w:sz w:val="22"/>
          <w:szCs w:val="22"/>
          <w:vertAlign w:val="superscript"/>
          <w:lang w:val="en-US"/>
        </w:rPr>
        <w:sym w:font="Symbol" w:char="F02A"/>
      </w:r>
      <w:r>
        <w:rPr>
          <w:rFonts w:ascii="Arial" w:hAnsi="Arial" w:cs="Arial"/>
          <w:sz w:val="22"/>
          <w:szCs w:val="22"/>
          <w:vertAlign w:val="subscript"/>
          <w:lang w:val="en-US"/>
        </w:rPr>
        <w:t>diet-bioapatite</w:t>
      </w:r>
      <w:r>
        <w:rPr>
          <w:rFonts w:ascii="Arial" w:hAnsi="Arial" w:cs="Arial"/>
          <w:sz w:val="22"/>
          <w:szCs w:val="22"/>
          <w:lang w:val="en-US"/>
        </w:rPr>
        <w:t>) to the carbon values, it indicates that the specimens from Ecuador lived in a drier vegetation cover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w:t>
      </w:r>
      <w:r>
        <w:rPr>
          <w:rFonts w:ascii="Arial" w:hAnsi="Arial" w:cs="Arial"/>
          <w:sz w:val="22"/>
          <w:szCs w:val="22"/>
          <w:vertAlign w:val="subscript"/>
          <w:lang w:val="en-US"/>
        </w:rPr>
        <w:t>Estimated Consumed Diet</w:t>
      </w:r>
      <w:r>
        <w:rPr>
          <w:rFonts w:ascii="Arial" w:hAnsi="Arial" w:cs="Arial"/>
          <w:sz w:val="22"/>
          <w:szCs w:val="22"/>
          <w:lang w:val="en-US"/>
        </w:rPr>
        <w:t xml:space="preserve"> = –22.55 ± 2.5‰; see Kohn 2010). Regarding the types of photosynthesis pathways of the plants they ate, some specimens consumed only C</w:t>
      </w:r>
      <w:r>
        <w:rPr>
          <w:rFonts w:ascii="Arial" w:hAnsi="Arial" w:cs="Arial"/>
          <w:sz w:val="22"/>
          <w:szCs w:val="22"/>
          <w:vertAlign w:val="subscript"/>
          <w:lang w:val="en-US"/>
        </w:rPr>
        <w:t>3</w:t>
      </w:r>
      <w:r>
        <w:rPr>
          <w:rFonts w:ascii="Arial" w:hAnsi="Arial" w:cs="Arial"/>
          <w:sz w:val="22"/>
          <w:szCs w:val="22"/>
          <w:lang w:val="en-US"/>
        </w:rPr>
        <w:t xml:space="preserve"> vegetation, a mixture of C</w:t>
      </w:r>
      <w:r>
        <w:rPr>
          <w:rFonts w:ascii="Arial" w:hAnsi="Arial" w:cs="Arial"/>
          <w:sz w:val="22"/>
          <w:szCs w:val="22"/>
          <w:vertAlign w:val="subscript"/>
          <w:lang w:val="en-US"/>
        </w:rPr>
        <w:t>3</w:t>
      </w:r>
      <w:r>
        <w:rPr>
          <w:rFonts w:ascii="Arial" w:hAnsi="Arial" w:cs="Arial"/>
          <w:sz w:val="22"/>
          <w:szCs w:val="22"/>
          <w:lang w:val="en-US"/>
        </w:rPr>
        <w:t>-C</w:t>
      </w:r>
      <w:r>
        <w:rPr>
          <w:rFonts w:ascii="Arial" w:hAnsi="Arial" w:cs="Arial"/>
          <w:sz w:val="22"/>
          <w:szCs w:val="22"/>
          <w:vertAlign w:val="subscript"/>
          <w:lang w:val="en-US"/>
        </w:rPr>
        <w:t xml:space="preserve">4 </w:t>
      </w:r>
      <w:r>
        <w:rPr>
          <w:rFonts w:ascii="Arial" w:hAnsi="Arial" w:cs="Arial"/>
          <w:sz w:val="22"/>
          <w:szCs w:val="22"/>
          <w:lang w:val="en-US"/>
        </w:rPr>
        <w:t>vegetation, and only C</w:t>
      </w:r>
      <w:r>
        <w:rPr>
          <w:rFonts w:ascii="Arial" w:hAnsi="Arial" w:cs="Arial"/>
          <w:sz w:val="22"/>
          <w:szCs w:val="22"/>
          <w:vertAlign w:val="subscript"/>
          <w:lang w:val="en-US"/>
        </w:rPr>
        <w:t>4</w:t>
      </w:r>
      <w:r>
        <w:rPr>
          <w:rFonts w:ascii="Arial" w:hAnsi="Arial" w:cs="Arial"/>
          <w:sz w:val="22"/>
          <w:szCs w:val="22"/>
          <w:lang w:val="en-US"/>
        </w:rPr>
        <w:t xml:space="preserve"> vegetation. </w:t>
      </w:r>
    </w:p>
    <w:p w14:paraId="6045C1E6">
      <w:pPr>
        <w:spacing w:line="480" w:lineRule="auto"/>
        <w:rPr>
          <w:rFonts w:ascii="Arial" w:hAnsi="Arial" w:cs="Arial"/>
          <w:sz w:val="22"/>
          <w:szCs w:val="22"/>
          <w:lang w:val="en-US"/>
        </w:rPr>
      </w:pPr>
      <w:r>
        <w:rPr>
          <w:rFonts w:ascii="Arial" w:hAnsi="Arial" w:cs="Arial"/>
          <w:sz w:val="22"/>
          <w:szCs w:val="22"/>
          <w:lang w:val="en-US"/>
        </w:rPr>
        <w:t xml:space="preserve">The analysis of dental microwear showed a predominance of scratches (Figure 4; Table S2) found mainly in specimens from coastal localities (e.g., Santa Elena province), corroborating the results obtained from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Thus, grass consumption constituted and important component of the diet of these gomphotheres; however, a large portion of individuals also fed on C</w:t>
      </w:r>
      <w:r>
        <w:rPr>
          <w:rFonts w:ascii="Arial" w:hAnsi="Arial" w:cs="Arial"/>
          <w:sz w:val="22"/>
          <w:szCs w:val="22"/>
          <w:vertAlign w:val="subscript"/>
          <w:lang w:val="en-US"/>
        </w:rPr>
        <w:t>3</w:t>
      </w:r>
      <w:r>
        <w:rPr>
          <w:rFonts w:ascii="Arial" w:hAnsi="Arial" w:cs="Arial"/>
          <w:sz w:val="22"/>
          <w:szCs w:val="22"/>
          <w:lang w:val="en-US"/>
        </w:rPr>
        <w:t xml:space="preserve"> vegetation, including both grasses more prevalent at high altitude regions) and C</w:t>
      </w:r>
      <w:r>
        <w:rPr>
          <w:rFonts w:ascii="Arial" w:hAnsi="Arial" w:cs="Arial"/>
          <w:sz w:val="22"/>
          <w:szCs w:val="22"/>
          <w:vertAlign w:val="subscript"/>
          <w:lang w:val="en-US"/>
        </w:rPr>
        <w:t>3</w:t>
      </w:r>
      <w:r>
        <w:rPr>
          <w:rFonts w:ascii="Arial" w:hAnsi="Arial" w:cs="Arial"/>
          <w:sz w:val="22"/>
          <w:szCs w:val="22"/>
          <w:lang w:val="en-US"/>
        </w:rPr>
        <w:t xml:space="preserve"> trees and shrubs. Therefore, as in extant elephants, seasonal variation may have influenced the dietary composition of these individuals (e.g., Baskaran and Desai, 2013; Beirme et al. 2021).  </w:t>
      </w:r>
    </w:p>
    <w:p w14:paraId="0E31D793">
      <w:pPr>
        <w:spacing w:line="480" w:lineRule="auto"/>
        <w:rPr>
          <w:rFonts w:ascii="Arial" w:hAnsi="Arial" w:cs="Arial"/>
          <w:sz w:val="22"/>
          <w:szCs w:val="22"/>
          <w:lang w:val="en-US"/>
        </w:rPr>
      </w:pPr>
    </w:p>
    <w:p w14:paraId="4B7789C2">
      <w:pPr>
        <w:spacing w:line="480" w:lineRule="auto"/>
        <w:rPr>
          <w:rFonts w:ascii="Arial" w:hAnsi="Arial" w:cs="Arial"/>
          <w:i/>
          <w:iCs/>
          <w:sz w:val="22"/>
          <w:szCs w:val="22"/>
          <w:lang w:val="en-US"/>
        </w:rPr>
      </w:pPr>
      <w:r>
        <w:rPr>
          <w:rFonts w:ascii="Arial" w:hAnsi="Arial" w:cs="Arial"/>
          <w:i/>
          <w:iCs/>
          <w:sz w:val="22"/>
          <w:szCs w:val="22"/>
          <w:lang w:val="en-US"/>
        </w:rPr>
        <w:t>4.2. Variability</w:t>
      </w:r>
    </w:p>
    <w:p w14:paraId="6485E3E5">
      <w:pPr>
        <w:spacing w:line="480" w:lineRule="auto"/>
        <w:rPr>
          <w:rFonts w:ascii="Arial" w:hAnsi="Arial" w:cs="Arial"/>
          <w:i/>
          <w:iCs/>
          <w:sz w:val="22"/>
          <w:szCs w:val="22"/>
          <w:lang w:val="en-US"/>
        </w:rPr>
      </w:pPr>
    </w:p>
    <w:p w14:paraId="2F106E03">
      <w:pPr>
        <w:spacing w:line="480" w:lineRule="auto"/>
        <w:rPr>
          <w:rFonts w:ascii="Arial" w:hAnsi="Arial" w:cs="Arial"/>
          <w:sz w:val="22"/>
          <w:szCs w:val="22"/>
          <w:lang w:val="en-US"/>
        </w:rPr>
      </w:pPr>
      <w:r>
        <w:rPr>
          <w:rFonts w:ascii="Arial" w:hAnsi="Arial" w:cs="Arial"/>
          <w:sz w:val="22"/>
          <w:szCs w:val="22"/>
          <w:lang w:val="en-US"/>
        </w:rPr>
        <w:t>Environmental variability is particularly evident in the Pichincha province. Here, there is the only evidence of an individual that lived in closed forest environments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 –14.82‰; Alangasí/Pichincha; 2600 m a.s.l). Today, the Alangasi site is characterized by Andean shrub vegetation. More broadly the  Pichincha province contains elements of montane forest, Andean scrub, and Paramo. Therefore, the isotopic signature indicates that this individual inhabited the area during times of montane forest expansion, probably related to an increase in temperature and precipitation in the area at the time (Heusser and Shackleton 1994). Also, there is a group of individuals that shows to have inhabited a mesic woodland environment (δ</w:t>
      </w:r>
      <w:r>
        <w:rPr>
          <w:rFonts w:ascii="Arial" w:hAnsi="Arial" w:cs="Arial"/>
          <w:sz w:val="22"/>
          <w:szCs w:val="22"/>
          <w:vertAlign w:val="superscript"/>
          <w:lang w:val="en-US"/>
        </w:rPr>
        <w:t>13</w:t>
      </w:r>
      <w:r>
        <w:rPr>
          <w:rFonts w:ascii="Arial" w:hAnsi="Arial" w:cs="Arial"/>
          <w:sz w:val="22"/>
          <w:szCs w:val="22"/>
          <w:lang w:val="en-US"/>
        </w:rPr>
        <w:t>C = –10.65 ± 1.6‰) (n=14), with a higher consumption of arboreal elements and climatic conditions with episodes of higher precipitation (Kohn 2010). The other environmental signal recorded at Pichincha province ranges from wooded C</w:t>
      </w:r>
      <w:r>
        <w:rPr>
          <w:rFonts w:ascii="Arial" w:hAnsi="Arial" w:cs="Arial"/>
          <w:sz w:val="22"/>
          <w:szCs w:val="22"/>
          <w:vertAlign w:val="subscript"/>
          <w:lang w:val="en-US"/>
        </w:rPr>
        <w:t xml:space="preserve">3 </w:t>
      </w:r>
      <w:r>
        <w:rPr>
          <w:rFonts w:ascii="Arial" w:hAnsi="Arial" w:cs="Arial"/>
          <w:sz w:val="22"/>
          <w:szCs w:val="22"/>
          <w:lang w:val="en-US"/>
        </w:rPr>
        <w:t>grassland to open, arid C</w:t>
      </w:r>
      <w:r>
        <w:rPr>
          <w:rFonts w:ascii="Arial" w:hAnsi="Arial" w:cs="Arial"/>
          <w:sz w:val="22"/>
          <w:szCs w:val="22"/>
          <w:vertAlign w:val="subscript"/>
          <w:lang w:val="en-US"/>
        </w:rPr>
        <w:t>3</w:t>
      </w:r>
      <w:r>
        <w:rPr>
          <w:rFonts w:ascii="Arial" w:hAnsi="Arial" w:cs="Arial"/>
          <w:sz w:val="22"/>
          <w:szCs w:val="22"/>
          <w:lang w:val="en-US"/>
        </w:rPr>
        <w:t xml:space="preserve"> grassland (–</w:t>
      </w:r>
      <w:r>
        <w:rPr>
          <w:rFonts w:ascii="Arial" w:hAnsi="Arial" w:cs="Arial"/>
          <w:sz w:val="22"/>
          <w:szCs w:val="22"/>
        </w:rPr>
        <w:t xml:space="preserve">6.74 </w:t>
      </w:r>
      <w:r>
        <w:rPr>
          <w:rFonts w:ascii="Arial" w:hAnsi="Arial" w:cs="Arial"/>
          <w:sz w:val="22"/>
          <w:szCs w:val="22"/>
          <w:lang w:val="en-US"/>
        </w:rPr>
        <w:t>± 2.2‰) (n=10); a pattern more compatible with the present day vegetation of Pichincha. For example, sample V-6143, radiocarbon dated between 25,003-25,344 cal BP from the locality of La Merced, adjacent to Alangasi, exhibits the paleoenvironmental variability expected at the Pichincha province during the Late Pleistocene; the sample has a value that is at the cutoff point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 –8.65‰) between a wooded C</w:t>
      </w:r>
      <w:r>
        <w:rPr>
          <w:rFonts w:ascii="Arial" w:hAnsi="Arial" w:cs="Arial"/>
          <w:sz w:val="22"/>
          <w:szCs w:val="22"/>
          <w:vertAlign w:val="subscript"/>
          <w:lang w:val="en-US"/>
        </w:rPr>
        <w:t>3</w:t>
      </w:r>
      <w:r>
        <w:rPr>
          <w:rFonts w:ascii="Arial" w:hAnsi="Arial" w:cs="Arial"/>
          <w:sz w:val="22"/>
          <w:szCs w:val="22"/>
          <w:lang w:val="en-US"/>
        </w:rPr>
        <w:t xml:space="preserve"> grassland to open, arid C</w:t>
      </w:r>
      <w:r>
        <w:rPr>
          <w:rFonts w:ascii="Arial" w:hAnsi="Arial" w:cs="Arial"/>
          <w:sz w:val="22"/>
          <w:szCs w:val="22"/>
          <w:vertAlign w:val="subscript"/>
          <w:lang w:val="en-US"/>
        </w:rPr>
        <w:t>3</w:t>
      </w:r>
      <w:r>
        <w:rPr>
          <w:rFonts w:ascii="Arial" w:hAnsi="Arial" w:cs="Arial"/>
          <w:sz w:val="22"/>
          <w:szCs w:val="22"/>
          <w:lang w:val="en-US"/>
        </w:rPr>
        <w:t xml:space="preserve"> grassland environment and mesic/woodland. </w:t>
      </w:r>
    </w:p>
    <w:p w14:paraId="7DAAD76B">
      <w:pPr>
        <w:spacing w:line="480" w:lineRule="auto"/>
        <w:rPr>
          <w:rFonts w:ascii="Arial" w:hAnsi="Arial" w:cs="Arial"/>
          <w:sz w:val="22"/>
          <w:szCs w:val="22"/>
          <w:lang w:val="en-US"/>
        </w:rPr>
      </w:pPr>
      <w:r>
        <w:rPr>
          <w:rFonts w:ascii="Arial" w:hAnsi="Arial" w:cs="Arial"/>
          <w:sz w:val="22"/>
          <w:szCs w:val="22"/>
          <w:lang w:val="en-US"/>
        </w:rPr>
        <w:t>Regarding specimens from inland locations (Pichincha, Chimborazo, and Cotopaxí), dental microwear data corroborates the interpretation of a mixed diet in agreement with the isotopic results. However, the specimens from Pichincha province, for example, which had more negative δ</w:t>
      </w:r>
      <w:r>
        <w:rPr>
          <w:rFonts w:ascii="Arial" w:hAnsi="Arial" w:cs="Arial"/>
          <w:sz w:val="22"/>
          <w:szCs w:val="22"/>
          <w:vertAlign w:val="superscript"/>
          <w:lang w:val="en-US"/>
        </w:rPr>
        <w:t>13</w:t>
      </w:r>
      <w:r>
        <w:rPr>
          <w:rFonts w:ascii="Arial" w:hAnsi="Arial" w:cs="Arial"/>
          <w:sz w:val="22"/>
          <w:szCs w:val="22"/>
          <w:lang w:val="en-US"/>
        </w:rPr>
        <w:t xml:space="preserve">C values, seem to have included more tree elements in their diet. </w:t>
      </w:r>
    </w:p>
    <w:p w14:paraId="4F767B63">
      <w:pPr>
        <w:spacing w:line="480" w:lineRule="auto"/>
        <w:rPr>
          <w:rFonts w:ascii="Arial" w:hAnsi="Arial" w:cs="Arial"/>
          <w:i/>
          <w:iCs/>
          <w:sz w:val="22"/>
          <w:szCs w:val="22"/>
          <w:lang w:val="en-US"/>
        </w:rPr>
      </w:pPr>
    </w:p>
    <w:p w14:paraId="76190691">
      <w:pPr>
        <w:spacing w:line="480" w:lineRule="auto"/>
        <w:rPr>
          <w:rFonts w:ascii="Arial" w:hAnsi="Arial" w:cs="Arial"/>
          <w:i/>
          <w:iCs/>
          <w:sz w:val="22"/>
          <w:szCs w:val="22"/>
          <w:lang w:val="en-US"/>
        </w:rPr>
      </w:pPr>
      <w:r>
        <w:rPr>
          <w:rFonts w:ascii="Arial" w:hAnsi="Arial" w:cs="Arial"/>
          <w:i/>
          <w:iCs/>
          <w:sz w:val="22"/>
          <w:szCs w:val="22"/>
          <w:lang w:val="en-US"/>
        </w:rPr>
        <w:t>4.3. Paleoclimate and mobility of gomphotheres</w:t>
      </w:r>
    </w:p>
    <w:p w14:paraId="4CFFD9FF">
      <w:pPr>
        <w:spacing w:line="480" w:lineRule="auto"/>
        <w:rPr>
          <w:rFonts w:ascii="Arial" w:hAnsi="Arial" w:cs="Arial"/>
          <w:i/>
          <w:iCs/>
          <w:sz w:val="22"/>
          <w:szCs w:val="22"/>
          <w:lang w:val="en-US"/>
        </w:rPr>
      </w:pPr>
    </w:p>
    <w:p w14:paraId="120D9E24">
      <w:pPr>
        <w:spacing w:line="480" w:lineRule="auto"/>
        <w:rPr>
          <w:rFonts w:ascii="Arial" w:hAnsi="Arial" w:cs="Arial"/>
          <w:sz w:val="22"/>
          <w:szCs w:val="22"/>
          <w:lang w:val="en-US"/>
        </w:rPr>
      </w:pPr>
      <w:r>
        <w:rPr>
          <w:rFonts w:ascii="Arial" w:hAnsi="Arial" w:eastAsia="Times New Roman" w:cs="Arial"/>
          <w:sz w:val="22"/>
          <w:szCs w:val="22"/>
          <w:lang w:val="en-US" w:eastAsia="pt-BR"/>
        </w:rPr>
        <w:t xml:space="preserve">The high values ​​of </w:t>
      </w:r>
      <w:r>
        <w:rPr>
          <w:rFonts w:ascii="Arial" w:hAnsi="Arial" w:eastAsia="Times New Roman" w:cs="Arial"/>
          <w:sz w:val="22"/>
          <w:szCs w:val="22"/>
          <w:lang w:eastAsia="pt-BR"/>
        </w:rPr>
        <w:t>δ</w:t>
      </w:r>
      <w:r>
        <w:rPr>
          <w:rFonts w:ascii="Arial" w:hAnsi="Arial" w:eastAsia="Times New Roman" w:cs="Arial"/>
          <w:sz w:val="22"/>
          <w:szCs w:val="22"/>
          <w:vertAlign w:val="superscript"/>
          <w:lang w:val="en-US" w:eastAsia="pt-BR"/>
        </w:rPr>
        <w:t>18</w:t>
      </w:r>
      <w:r>
        <w:rPr>
          <w:rFonts w:ascii="Arial" w:hAnsi="Arial" w:eastAsia="Times New Roman" w:cs="Arial"/>
          <w:sz w:val="22"/>
          <w:szCs w:val="22"/>
          <w:lang w:val="en-US" w:eastAsia="pt-BR"/>
        </w:rPr>
        <w:t>O</w:t>
      </w:r>
      <w:r>
        <w:rPr>
          <w:rFonts w:ascii="Arial" w:hAnsi="Arial" w:eastAsia="Times New Roman" w:cs="Arial"/>
          <w:sz w:val="22"/>
          <w:szCs w:val="22"/>
          <w:vertAlign w:val="subscript"/>
          <w:lang w:val="en-US" w:eastAsia="pt-BR"/>
        </w:rPr>
        <w:t>meteoric water</w:t>
      </w:r>
      <w:r>
        <w:rPr>
          <w:rFonts w:ascii="Arial" w:hAnsi="Arial" w:eastAsia="Times New Roman" w:cs="Arial"/>
          <w:sz w:val="22"/>
          <w:szCs w:val="22"/>
          <w:lang w:val="en-US" w:eastAsia="pt-BR"/>
        </w:rPr>
        <w:t xml:space="preserve"> (n = 19; –2.6 ± 2.7</w:t>
      </w:r>
      <w:r>
        <w:rPr>
          <w:rFonts w:ascii="Arial" w:hAnsi="Arial" w:cs="Arial"/>
          <w:sz w:val="22"/>
          <w:szCs w:val="22"/>
          <w:lang w:val="en-US"/>
        </w:rPr>
        <w:t>‰</w:t>
      </w:r>
      <w:r>
        <w:rPr>
          <w:rFonts w:ascii="Arial" w:hAnsi="Arial" w:eastAsia="Times New Roman" w:cs="Arial"/>
          <w:sz w:val="22"/>
          <w:szCs w:val="22"/>
          <w:lang w:val="en-US" w:eastAsia="pt-BR"/>
        </w:rPr>
        <w:t>) obtained from the gomphotheres from the coastal area could indicate arid and warm environments in tropical zones. The above is fulfilled with the exception of sample V-1242  from San Raimundo (Santa Elena province), which shows a much more negative value (δ</w:t>
      </w:r>
      <w:r>
        <w:rPr>
          <w:rFonts w:ascii="Arial" w:hAnsi="Arial" w:eastAsia="Times New Roman" w:cs="Arial"/>
          <w:sz w:val="22"/>
          <w:szCs w:val="22"/>
          <w:vertAlign w:val="superscript"/>
          <w:lang w:val="en-US" w:eastAsia="pt-BR"/>
        </w:rPr>
        <w:t>18</w:t>
      </w:r>
      <w:r>
        <w:rPr>
          <w:rFonts w:ascii="Arial" w:hAnsi="Arial" w:eastAsia="Times New Roman" w:cs="Arial"/>
          <w:sz w:val="22"/>
          <w:szCs w:val="22"/>
          <w:lang w:val="en-US" w:eastAsia="pt-BR"/>
        </w:rPr>
        <w:t>O</w:t>
      </w:r>
      <w:r>
        <w:rPr>
          <w:rFonts w:ascii="Arial" w:hAnsi="Arial" w:eastAsia="Times New Roman" w:cs="Arial"/>
          <w:sz w:val="22"/>
          <w:szCs w:val="22"/>
          <w:vertAlign w:val="subscript"/>
          <w:lang w:val="en-US" w:eastAsia="pt-BR"/>
        </w:rPr>
        <w:t>meteoric water</w:t>
      </w:r>
      <w:r>
        <w:rPr>
          <w:rFonts w:ascii="Arial" w:hAnsi="Arial" w:eastAsia="Times New Roman" w:cs="Arial"/>
          <w:sz w:val="22"/>
          <w:szCs w:val="22"/>
          <w:lang w:val="en-US" w:eastAsia="pt-BR"/>
        </w:rPr>
        <w:t xml:space="preserve"> = –10.94‰) than the other samples from the coastal area. There are two possible explanations for this difference: first, the individual could have been permanently drinking water from a river coming directly from a nearby hill </w:t>
      </w:r>
      <w:r>
        <w:rPr>
          <w:rFonts w:ascii="Arial" w:hAnsi="Arial" w:cs="Arial"/>
          <w:sz w:val="22"/>
          <w:szCs w:val="22"/>
          <w:lang w:val="en-US"/>
        </w:rPr>
        <w:t xml:space="preserve">(Taucare et al. 2020). A plausible scenario under conditions of severe drought where drinking from mountain rivers is the only option; second, this </w:t>
      </w:r>
      <w:r>
        <w:rPr>
          <w:rFonts w:ascii="Arial" w:hAnsi="Arial" w:eastAsia="Times New Roman" w:cs="Arial"/>
          <w:sz w:val="22"/>
          <w:szCs w:val="22"/>
          <w:lang w:val="en-US" w:eastAsia="pt-BR"/>
        </w:rPr>
        <w:t xml:space="preserve">individual </w:t>
      </w:r>
      <w:r>
        <w:rPr>
          <w:rFonts w:ascii="Arial" w:hAnsi="Arial" w:cs="Arial"/>
          <w:sz w:val="22"/>
          <w:szCs w:val="22"/>
          <w:lang w:val="en-US"/>
        </w:rPr>
        <w:t>may have consumed precipitation-derived water with significantly depleted δ</w:t>
      </w:r>
      <w:r>
        <w:rPr>
          <w:rFonts w:ascii="Arial" w:hAnsi="Arial" w:cs="Arial"/>
          <w:sz w:val="22"/>
          <w:szCs w:val="22"/>
          <w:vertAlign w:val="superscript"/>
          <w:lang w:val="en-US"/>
        </w:rPr>
        <w:t>18</w:t>
      </w:r>
      <w:r>
        <w:rPr>
          <w:rFonts w:ascii="Arial" w:hAnsi="Arial" w:cs="Arial"/>
          <w:sz w:val="22"/>
          <w:szCs w:val="22"/>
          <w:lang w:val="en-US"/>
        </w:rPr>
        <w:t xml:space="preserve">O values, consistent with the effects of convective storms over the Pacific Ocean on </w:t>
      </w:r>
      <w:r>
        <w:rPr>
          <w:rFonts w:ascii="Arial" w:hAnsi="Arial" w:cs="Arial"/>
          <w:sz w:val="22"/>
          <w:szCs w:val="22"/>
        </w:rPr>
        <w:t>δ</w:t>
      </w:r>
      <w:r>
        <w:rPr>
          <w:rFonts w:ascii="Arial" w:hAnsi="Arial" w:cs="Arial"/>
          <w:sz w:val="22"/>
          <w:szCs w:val="22"/>
          <w:vertAlign w:val="superscript"/>
          <w:lang w:val="en-US"/>
        </w:rPr>
        <w:t>18</w:t>
      </w:r>
      <w:r>
        <w:rPr>
          <w:rFonts w:ascii="Arial" w:hAnsi="Arial" w:cs="Arial"/>
          <w:sz w:val="22"/>
          <w:szCs w:val="22"/>
          <w:lang w:val="en-US"/>
        </w:rPr>
        <w:t>O values ​​along the Ecuadorian coast (Garcia et al. 1998).</w:t>
      </w:r>
      <w:r>
        <w:t xml:space="preserve">  </w:t>
      </w:r>
      <w:r>
        <w:rPr>
          <w:rFonts w:ascii="Arial" w:hAnsi="Arial" w:cs="Arial"/>
          <w:sz w:val="22"/>
          <w:szCs w:val="22"/>
          <w:lang w:val="en-US"/>
        </w:rPr>
        <w:t xml:space="preserve">New methodologies </w:t>
      </w:r>
      <w:r>
        <w:t>(</w:t>
      </w:r>
      <w:r>
        <w:rPr>
          <w:rFonts w:ascii="Arial" w:hAnsi="Arial" w:cs="Arial"/>
          <w:sz w:val="22"/>
          <w:szCs w:val="22"/>
          <w:lang w:val="en-US"/>
        </w:rPr>
        <w:t>e.g., baseline of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from different hydrological sources from the sea to the Andes) would help to better understand the results obtained for this particular sample. </w:t>
      </w:r>
    </w:p>
    <w:p w14:paraId="7C294992">
      <w:pPr>
        <w:spacing w:line="480" w:lineRule="auto"/>
        <w:rPr>
          <w:rFonts w:ascii="Arial" w:hAnsi="Arial" w:eastAsia="Times New Roman" w:cs="Arial"/>
          <w:sz w:val="22"/>
          <w:szCs w:val="22"/>
          <w:lang w:val="en-US" w:eastAsia="pt-BR"/>
        </w:rPr>
      </w:pPr>
      <w:r>
        <w:rPr>
          <w:rFonts w:ascii="Arial" w:hAnsi="Arial" w:eastAsia="Times New Roman" w:cs="Arial"/>
          <w:sz w:val="22"/>
          <w:szCs w:val="22"/>
          <w:lang w:val="en-US" w:eastAsia="pt-BR"/>
        </w:rPr>
        <w:t xml:space="preserve">In the coastal area and inter-Andean valleys, evidence of arid conditions and grassland environments is supported by dental microwear. This interpretation is consistent with the </w:t>
      </w:r>
      <w:r>
        <w:rPr>
          <w:rFonts w:ascii="Arial" w:hAnsi="Arial" w:eastAsia="Times New Roman" w:cs="Arial"/>
          <w:sz w:val="22"/>
          <w:szCs w:val="22"/>
          <w:lang w:eastAsia="pt-BR"/>
        </w:rPr>
        <w:t>δ</w:t>
      </w:r>
      <w:r>
        <w:rPr>
          <w:rFonts w:ascii="Arial" w:hAnsi="Arial" w:eastAsia="Times New Roman" w:cs="Arial"/>
          <w:sz w:val="22"/>
          <w:szCs w:val="22"/>
          <w:vertAlign w:val="superscript"/>
          <w:lang w:val="en-US" w:eastAsia="pt-BR"/>
        </w:rPr>
        <w:t>13</w:t>
      </w:r>
      <w:r>
        <w:rPr>
          <w:rFonts w:ascii="Arial" w:hAnsi="Arial" w:eastAsia="Times New Roman" w:cs="Arial"/>
          <w:sz w:val="22"/>
          <w:szCs w:val="22"/>
          <w:lang w:val="en-US" w:eastAsia="pt-BR"/>
        </w:rPr>
        <w:t xml:space="preserve">C values indicating </w:t>
      </w:r>
      <w:r>
        <w:rPr>
          <w:rFonts w:ascii="Arial" w:hAnsi="Arial" w:cs="Arial"/>
          <w:sz w:val="22"/>
          <w:szCs w:val="22"/>
          <w:lang w:val="en-US"/>
        </w:rPr>
        <w:t>a trend towards more open environments</w:t>
      </w:r>
      <w:r>
        <w:rPr>
          <w:rFonts w:ascii="Arial" w:hAnsi="Arial" w:eastAsia="Times New Roman" w:cs="Arial"/>
          <w:sz w:val="22"/>
          <w:szCs w:val="22"/>
          <w:lang w:val="en-US" w:eastAsia="pt-BR"/>
        </w:rPr>
        <w:t xml:space="preserve"> (</w:t>
      </w:r>
      <w:r>
        <w:rPr>
          <w:rFonts w:ascii="Arial" w:hAnsi="Arial" w:eastAsia="Times New Roman" w:cs="Arial"/>
          <w:sz w:val="22"/>
          <w:szCs w:val="22"/>
          <w:lang w:eastAsia="pt-BR"/>
        </w:rPr>
        <w:t>δ</w:t>
      </w:r>
      <w:r>
        <w:rPr>
          <w:rFonts w:ascii="Arial" w:hAnsi="Arial" w:eastAsia="Times New Roman" w:cs="Arial"/>
          <w:sz w:val="22"/>
          <w:szCs w:val="22"/>
          <w:vertAlign w:val="superscript"/>
          <w:lang w:val="en-US" w:eastAsia="pt-BR"/>
        </w:rPr>
        <w:t>13</w:t>
      </w:r>
      <w:r>
        <w:rPr>
          <w:rFonts w:ascii="Arial" w:hAnsi="Arial" w:eastAsia="Times New Roman" w:cs="Arial"/>
          <w:sz w:val="22"/>
          <w:szCs w:val="22"/>
          <w:lang w:val="en-US" w:eastAsia="pt-BR"/>
        </w:rPr>
        <w:t>C = –5.68 ± 2</w:t>
      </w:r>
      <w:r>
        <w:rPr>
          <w:rFonts w:ascii="Arial" w:hAnsi="Arial" w:cs="Arial"/>
          <w:sz w:val="22"/>
          <w:szCs w:val="22"/>
          <w:lang w:val="en-US"/>
        </w:rPr>
        <w:t>‰</w:t>
      </w:r>
      <w:r>
        <w:rPr>
          <w:rFonts w:ascii="Arial" w:hAnsi="Arial" w:eastAsia="Times New Roman" w:cs="Arial"/>
          <w:sz w:val="22"/>
          <w:szCs w:val="22"/>
          <w:lang w:val="en-US" w:eastAsia="pt-BR"/>
        </w:rPr>
        <w:t>)</w:t>
      </w:r>
      <w:r>
        <w:rPr>
          <w:rFonts w:ascii="Arial" w:hAnsi="Arial" w:cs="Arial"/>
          <w:sz w:val="22"/>
          <w:szCs w:val="22"/>
          <w:lang w:val="en-US"/>
        </w:rPr>
        <w:t>, although we suggest that most gomphotheres included leaves and branches in their diet as well.</w:t>
      </w:r>
      <w:r>
        <w:rPr>
          <w:lang w:val="en-US"/>
        </w:rPr>
        <w:t xml:space="preserve"> </w:t>
      </w:r>
      <w:r>
        <w:rPr>
          <w:rFonts w:ascii="Arial" w:hAnsi="Arial" w:eastAsia="Times New Roman" w:cs="Arial"/>
          <w:sz w:val="22"/>
          <w:szCs w:val="22"/>
          <w:lang w:val="en-US" w:eastAsia="pt-BR"/>
        </w:rPr>
        <w:t>In addition. the presence of C</w:t>
      </w:r>
      <w:r>
        <w:rPr>
          <w:rFonts w:ascii="Arial" w:hAnsi="Arial" w:eastAsia="Times New Roman" w:cs="Arial"/>
          <w:sz w:val="22"/>
          <w:szCs w:val="22"/>
          <w:vertAlign w:val="subscript"/>
          <w:lang w:val="en-US" w:eastAsia="pt-BR"/>
        </w:rPr>
        <w:t>4</w:t>
      </w:r>
      <w:r>
        <w:rPr>
          <w:rFonts w:ascii="Arial" w:hAnsi="Arial" w:eastAsia="Times New Roman" w:cs="Arial"/>
          <w:sz w:val="22"/>
          <w:szCs w:val="22"/>
          <w:lang w:val="en-US" w:eastAsia="pt-BR"/>
        </w:rPr>
        <w:t xml:space="preserve"> vegetation in some individuals, suggests aridity. However, caution should be exercised when interpreting results from fossil findings above 3000 m.a.s.l., as these elevations correspond top Páramo ecosystems characterized by high humidity and open environments. Tree biomass in this ecosystem is limited,  in part due to the poor nutritional quality of the soil. Sample V-4825 (</w:t>
      </w:r>
      <w:r>
        <w:rPr>
          <w:rFonts w:ascii="Arial" w:hAnsi="Arial" w:eastAsia="Times New Roman" w:cs="Arial"/>
          <w:sz w:val="22"/>
          <w:szCs w:val="22"/>
          <w:lang w:eastAsia="pt-BR"/>
        </w:rPr>
        <w:t>δ</w:t>
      </w:r>
      <w:r>
        <w:rPr>
          <w:rFonts w:ascii="Arial" w:hAnsi="Arial" w:eastAsia="Times New Roman" w:cs="Arial"/>
          <w:sz w:val="22"/>
          <w:szCs w:val="22"/>
          <w:vertAlign w:val="superscript"/>
          <w:lang w:val="en-US" w:eastAsia="pt-BR"/>
        </w:rPr>
        <w:t>13</w:t>
      </w:r>
      <w:r>
        <w:rPr>
          <w:rFonts w:ascii="Arial" w:hAnsi="Arial" w:eastAsia="Times New Roman" w:cs="Arial"/>
          <w:sz w:val="22"/>
          <w:szCs w:val="22"/>
          <w:lang w:val="en-US" w:eastAsia="pt-BR"/>
        </w:rPr>
        <w:t>C = –9.36</w:t>
      </w:r>
      <w:r>
        <w:rPr>
          <w:rFonts w:ascii="Arial" w:hAnsi="Arial" w:cs="Arial"/>
          <w:sz w:val="22"/>
          <w:szCs w:val="22"/>
          <w:lang w:val="en-US"/>
        </w:rPr>
        <w:t>‰</w:t>
      </w:r>
      <w:r>
        <w:rPr>
          <w:rFonts w:ascii="Arial" w:hAnsi="Arial" w:eastAsia="Times New Roman" w:cs="Arial"/>
          <w:sz w:val="22"/>
          <w:szCs w:val="22"/>
          <w:lang w:val="en-US" w:eastAsia="pt-BR"/>
        </w:rPr>
        <w:t>), from La Carolina, Santa Elena province is an exception, suggesting a more humid environment with the presence of arboreal elements.</w:t>
      </w:r>
    </w:p>
    <w:p w14:paraId="0B652DF4">
      <w:pPr>
        <w:spacing w:line="480" w:lineRule="auto"/>
        <w:rPr>
          <w:rFonts w:ascii="Arial" w:hAnsi="Arial" w:cs="Arial"/>
          <w:sz w:val="22"/>
          <w:szCs w:val="22"/>
          <w:lang w:val="en-US"/>
        </w:rPr>
      </w:pPr>
      <w:r>
        <w:rPr>
          <w:rFonts w:ascii="Arial" w:hAnsi="Arial" w:eastAsia="Times New Roman" w:cs="Arial"/>
          <w:sz w:val="22"/>
          <w:szCs w:val="22"/>
          <w:lang w:val="en-US" w:eastAsia="pt-BR"/>
        </w:rPr>
        <w:t xml:space="preserve">The two dated specimens from coastal sites, La Carolina (Santa Elena province) and Pedro Pablo Gómez (Manabí province), have an age of 24,305-24,868 and 23,749-23,946 cal BP (2 sigma), respectively. Both samples reflect the altitudinal effect, consistent with modern isotopic trend </w:t>
      </w:r>
      <w:r>
        <w:rPr>
          <w:rFonts w:ascii="Arial" w:hAnsi="Arial" w:cs="Arial"/>
          <w:sz w:val="22"/>
          <w:szCs w:val="22"/>
          <w:lang w:val="en-US"/>
        </w:rPr>
        <w:t>(Supplementary material; Figure 3). However, given the high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values, these gomphotheres would have been drinking water from highly evaporated hydrological sources (</w:t>
      </w:r>
      <w:r>
        <w:rPr>
          <w:rFonts w:ascii="Arial" w:hAnsi="Arial" w:cs="Arial"/>
          <w:sz w:val="22"/>
          <w:szCs w:val="22"/>
        </w:rPr>
        <w:t>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 xml:space="preserve">meteoric water </w:t>
      </w:r>
      <w:r>
        <w:rPr>
          <w:rFonts w:ascii="Arial" w:hAnsi="Arial" w:cs="Arial"/>
          <w:sz w:val="22"/>
          <w:szCs w:val="22"/>
          <w:lang w:val="en-US"/>
        </w:rPr>
        <w:t xml:space="preserve">= –0.86‰; –1.46‰), probably from stagnant waters like wetlands. Also, the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values ​​of the dated samples follow the open environment pattern for coastal sites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C = –3.7‰; –6.1‰). Particularly, the δ</w:t>
      </w:r>
      <w:r>
        <w:rPr>
          <w:rFonts w:ascii="Arial" w:hAnsi="Arial" w:cs="Arial"/>
          <w:sz w:val="22"/>
          <w:szCs w:val="22"/>
          <w:vertAlign w:val="superscript"/>
          <w:lang w:val="en-US"/>
        </w:rPr>
        <w:t>13</w:t>
      </w:r>
      <w:r>
        <w:rPr>
          <w:rFonts w:ascii="Arial" w:hAnsi="Arial" w:cs="Arial"/>
          <w:sz w:val="22"/>
          <w:szCs w:val="22"/>
          <w:lang w:val="en-US"/>
        </w:rPr>
        <w:t xml:space="preserve">C value of specimen V-4824 (La Carolina site;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 xml:space="preserve">C = </w:t>
      </w:r>
      <w:r>
        <w:rPr>
          <w:rFonts w:ascii="Arial" w:hAnsi="Arial" w:cs="Arial"/>
          <w:sz w:val="22"/>
          <w:szCs w:val="22"/>
          <w:lang w:val="en-US"/>
        </w:rPr>
        <w:softHyphen/>
      </w:r>
      <w:r>
        <w:rPr>
          <w:rFonts w:ascii="Arial" w:hAnsi="Arial" w:cs="Arial"/>
          <w:sz w:val="22"/>
          <w:szCs w:val="22"/>
          <w:lang w:val="en-US"/>
        </w:rPr>
        <w:t>–3.7‰; cal mean = 24,606 cal yr BP), suggests that during the Last Glacial Maximum, favorable climatic conditions existed for C</w:t>
      </w:r>
      <w:r>
        <w:rPr>
          <w:rFonts w:ascii="Arial" w:hAnsi="Arial" w:cs="Arial"/>
          <w:sz w:val="22"/>
          <w:szCs w:val="22"/>
          <w:vertAlign w:val="subscript"/>
          <w:lang w:val="en-US"/>
        </w:rPr>
        <w:t>4</w:t>
      </w:r>
      <w:r>
        <w:rPr>
          <w:rFonts w:ascii="Arial" w:hAnsi="Arial" w:cs="Arial"/>
          <w:sz w:val="22"/>
          <w:szCs w:val="22"/>
          <w:lang w:val="en-US"/>
        </w:rPr>
        <w:t xml:space="preserve"> plants to develop.</w:t>
      </w:r>
    </w:p>
    <w:p w14:paraId="788014FA">
      <w:pPr>
        <w:spacing w:line="480" w:lineRule="auto"/>
        <w:rPr>
          <w:rFonts w:ascii="Arial" w:hAnsi="Arial" w:cs="Arial"/>
          <w:sz w:val="22"/>
          <w:szCs w:val="22"/>
          <w:shd w:val="clear" w:color="auto" w:fill="FFFFFF"/>
        </w:rPr>
      </w:pPr>
      <w:r>
        <w:rPr>
          <w:rFonts w:ascii="Arial" w:hAnsi="Arial" w:cs="Arial"/>
          <w:sz w:val="22"/>
          <w:szCs w:val="22"/>
        </w:rPr>
        <w:t>Interestingly, at higher altitude, evidence of C</w:t>
      </w:r>
      <w:r>
        <w:rPr>
          <w:rFonts w:ascii="Arial" w:hAnsi="Arial" w:cs="Arial"/>
          <w:sz w:val="22"/>
          <w:szCs w:val="22"/>
          <w:vertAlign w:val="subscript"/>
        </w:rPr>
        <w:t>4</w:t>
      </w:r>
      <w:r>
        <w:rPr>
          <w:rFonts w:ascii="Arial" w:hAnsi="Arial" w:cs="Arial"/>
          <w:sz w:val="22"/>
          <w:szCs w:val="22"/>
        </w:rPr>
        <w:t xml:space="preserve"> plant environments was recorded at the La Merced site (Pichincha; δ</w:t>
      </w:r>
      <w:r>
        <w:rPr>
          <w:rFonts w:ascii="Arial" w:hAnsi="Arial" w:cs="Arial"/>
          <w:sz w:val="22"/>
          <w:szCs w:val="22"/>
          <w:vertAlign w:val="superscript"/>
        </w:rPr>
        <w:t>13</w:t>
      </w:r>
      <w:r>
        <w:rPr>
          <w:rFonts w:ascii="Arial" w:hAnsi="Arial" w:cs="Arial"/>
          <w:sz w:val="22"/>
          <w:szCs w:val="22"/>
        </w:rPr>
        <w:t>C = –4.58 ‰; 2534 m.a.s.l) and at the Punín site (Chimborazo, δ</w:t>
      </w:r>
      <w:r>
        <w:rPr>
          <w:rFonts w:ascii="Arial" w:hAnsi="Arial" w:cs="Arial"/>
          <w:sz w:val="22"/>
          <w:szCs w:val="22"/>
          <w:vertAlign w:val="superscript"/>
        </w:rPr>
        <w:t>13</w:t>
      </w:r>
      <w:r>
        <w:rPr>
          <w:rFonts w:ascii="Arial" w:hAnsi="Arial" w:cs="Arial"/>
          <w:sz w:val="22"/>
          <w:szCs w:val="22"/>
        </w:rPr>
        <w:t>C = –5.1 ‰; 2803 m.a.s.l). A C</w:t>
      </w:r>
      <w:r>
        <w:rPr>
          <w:rFonts w:ascii="Arial" w:hAnsi="Arial" w:cs="Arial"/>
          <w:sz w:val="22"/>
          <w:szCs w:val="22"/>
          <w:vertAlign w:val="subscript"/>
        </w:rPr>
        <w:t>4</w:t>
      </w:r>
      <w:r>
        <w:rPr>
          <w:rFonts w:ascii="Arial" w:hAnsi="Arial" w:cs="Arial"/>
          <w:sz w:val="22"/>
          <w:szCs w:val="22"/>
        </w:rPr>
        <w:t xml:space="preserve"> signal has also been recorded in gomphotheres located at Tarija in Bolivia (1866 m.a.s.l; Sánchez et al. 2004) and Ayusbamba in Peru (3783 m.a.s.l; Domingo et al. 2012). Our evidence is consistent with paleoenvironmental pollen records from the Colombian Páramo during the Last Glacial Maximum. At that time, C</w:t>
      </w:r>
      <w:r>
        <w:rPr>
          <w:rFonts w:ascii="Arial" w:hAnsi="Arial" w:cs="Arial"/>
          <w:sz w:val="22"/>
          <w:szCs w:val="22"/>
          <w:vertAlign w:val="subscript"/>
        </w:rPr>
        <w:t>4</w:t>
      </w:r>
      <w:r>
        <w:rPr>
          <w:rFonts w:ascii="Arial" w:hAnsi="Arial" w:cs="Arial"/>
          <w:sz w:val="22"/>
          <w:szCs w:val="22"/>
        </w:rPr>
        <w:t xml:space="preserve"> vegetation expanded in the páramo up to</w:t>
      </w:r>
      <w:r>
        <w:t xml:space="preserve"> elevations of approximately</w:t>
      </w:r>
      <w:r>
        <w:rPr>
          <w:rFonts w:ascii="Arial" w:hAnsi="Arial" w:cs="Arial"/>
          <w:sz w:val="22"/>
          <w:szCs w:val="22"/>
        </w:rPr>
        <w:t xml:space="preserve"> 3500 m, whereas  today, C</w:t>
      </w:r>
      <w:r>
        <w:rPr>
          <w:rFonts w:ascii="Arial" w:hAnsi="Arial" w:cs="Arial"/>
          <w:sz w:val="22"/>
          <w:szCs w:val="22"/>
          <w:vertAlign w:val="subscript"/>
        </w:rPr>
        <w:t>4</w:t>
      </w:r>
      <w:r>
        <w:rPr>
          <w:rFonts w:ascii="Arial" w:hAnsi="Arial" w:cs="Arial"/>
          <w:sz w:val="22"/>
          <w:szCs w:val="22"/>
        </w:rPr>
        <w:t xml:space="preserve">-dominated vegetation occurs below 2200 m.a.s.l. (Hooghiemstra and </w:t>
      </w:r>
      <w:r>
        <w:rPr>
          <w:rFonts w:ascii="Arial" w:hAnsi="Arial" w:cs="Arial"/>
          <w:shd w:val="clear" w:color="auto" w:fill="FFFFFF"/>
        </w:rPr>
        <w:t xml:space="preserve">Van der Hammen 2004). </w:t>
      </w:r>
      <w:r>
        <w:rPr>
          <w:rFonts w:ascii="Arial" w:hAnsi="Arial" w:cs="Arial"/>
          <w:sz w:val="22"/>
          <w:szCs w:val="22"/>
          <w:shd w:val="clear" w:color="auto" w:fill="FFFFFF"/>
        </w:rPr>
        <w:t>Especially during the Last Glacial Maximum, due to the low atmospheric partial pressure of carbon dioxide, pCO2), C</w:t>
      </w:r>
      <w:r>
        <w:rPr>
          <w:rFonts w:ascii="Arial" w:hAnsi="Arial" w:cs="Arial"/>
          <w:sz w:val="22"/>
          <w:szCs w:val="22"/>
          <w:shd w:val="clear" w:color="auto" w:fill="FFFFFF"/>
          <w:vertAlign w:val="subscript"/>
        </w:rPr>
        <w:t>4</w:t>
      </w:r>
      <w:r>
        <w:rPr>
          <w:rFonts w:ascii="Arial" w:hAnsi="Arial" w:cs="Arial"/>
          <w:sz w:val="22"/>
          <w:szCs w:val="22"/>
          <w:shd w:val="clear" w:color="auto" w:fill="FFFFFF"/>
        </w:rPr>
        <w:t xml:space="preserve"> plants were much more abundant in the Páramo (Boom et al. 2001).  </w:t>
      </w:r>
    </w:p>
    <w:p w14:paraId="10A88E5E">
      <w:pPr>
        <w:spacing w:line="480" w:lineRule="auto"/>
        <w:rPr>
          <w:rFonts w:ascii="Arial" w:hAnsi="Arial" w:cs="Arial"/>
          <w:sz w:val="22"/>
          <w:szCs w:val="22"/>
          <w:lang w:val="en-US"/>
        </w:rPr>
      </w:pPr>
      <w:r>
        <w:rPr>
          <w:rFonts w:ascii="Arial" w:hAnsi="Arial" w:eastAsia="Times New Roman" w:cs="Arial"/>
          <w:sz w:val="22"/>
          <w:szCs w:val="22"/>
          <w:lang w:val="en-US" w:eastAsia="pt-BR"/>
        </w:rPr>
        <w:t>Dated samples from higher altitude locations show semi-open and arid environments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 xml:space="preserve">C = –7.35 </w:t>
      </w:r>
      <w:r>
        <w:rPr>
          <w:rFonts w:ascii="Arial" w:hAnsi="Arial" w:eastAsia="Times New Roman" w:cs="Arial"/>
          <w:sz w:val="22"/>
          <w:szCs w:val="22"/>
          <w:lang w:val="en-US" w:eastAsia="pt-BR"/>
        </w:rPr>
        <w:t>± 1.29</w:t>
      </w:r>
      <w:r>
        <w:rPr>
          <w:rFonts w:ascii="Arial" w:hAnsi="Arial" w:cs="Arial"/>
          <w:sz w:val="22"/>
          <w:szCs w:val="22"/>
          <w:lang w:val="en-US"/>
        </w:rPr>
        <w:t>‰</w:t>
      </w:r>
      <w:r>
        <w:rPr>
          <w:rFonts w:ascii="Arial" w:hAnsi="Arial" w:eastAsia="Times New Roman" w:cs="Arial"/>
          <w:sz w:val="22"/>
          <w:szCs w:val="22"/>
          <w:lang w:val="en-US" w:eastAsia="pt-BR"/>
        </w:rPr>
        <w:t>), and colder environments (</w:t>
      </w:r>
      <w:r>
        <w:rPr>
          <w:rFonts w:ascii="Arial" w:hAnsi="Arial" w:cs="Arial"/>
          <w:sz w:val="22"/>
          <w:szCs w:val="22"/>
        </w:rPr>
        <w:t>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 xml:space="preserve">meteoric water </w:t>
      </w:r>
      <w:r>
        <w:rPr>
          <w:rFonts w:ascii="Arial" w:hAnsi="Arial" w:cs="Arial"/>
          <w:sz w:val="22"/>
          <w:szCs w:val="22"/>
          <w:lang w:val="en-US"/>
        </w:rPr>
        <w:t xml:space="preserve">= –10.65 </w:t>
      </w:r>
      <w:r>
        <w:rPr>
          <w:rFonts w:ascii="Arial" w:hAnsi="Arial" w:eastAsia="Times New Roman" w:cs="Arial"/>
          <w:sz w:val="22"/>
          <w:szCs w:val="22"/>
          <w:lang w:val="en-US" w:eastAsia="pt-BR"/>
        </w:rPr>
        <w:t>± 0.43</w:t>
      </w:r>
      <w:r>
        <w:rPr>
          <w:rFonts w:ascii="Arial" w:hAnsi="Arial" w:cs="Arial"/>
          <w:sz w:val="22"/>
          <w:szCs w:val="22"/>
          <w:lang w:val="en-US"/>
        </w:rPr>
        <w:t>‰</w:t>
      </w:r>
      <w:r>
        <w:rPr>
          <w:rFonts w:ascii="Arial" w:hAnsi="Arial" w:eastAsia="Times New Roman" w:cs="Arial"/>
          <w:sz w:val="22"/>
          <w:szCs w:val="22"/>
          <w:lang w:val="en-US" w:eastAsia="pt-BR"/>
        </w:rPr>
        <w:t>). Despite the wide temporal range between the three dated samples (25,003 to 32,066 cal yr BP; table 1), we did not observe significant variations. Interestingly, the δ</w:t>
      </w:r>
      <w:r>
        <w:rPr>
          <w:rFonts w:ascii="Arial" w:hAnsi="Arial" w:eastAsia="Times New Roman" w:cs="Arial"/>
          <w:sz w:val="22"/>
          <w:szCs w:val="22"/>
          <w:vertAlign w:val="superscript"/>
          <w:lang w:val="en-US" w:eastAsia="pt-BR"/>
        </w:rPr>
        <w:t>18</w:t>
      </w:r>
      <w:r>
        <w:rPr>
          <w:rFonts w:ascii="Arial" w:hAnsi="Arial" w:eastAsia="Times New Roman" w:cs="Arial"/>
          <w:sz w:val="22"/>
          <w:szCs w:val="22"/>
          <w:lang w:val="en-US" w:eastAsia="pt-BR"/>
        </w:rPr>
        <w:t>O</w:t>
      </w:r>
      <w:r>
        <w:rPr>
          <w:rFonts w:ascii="Arial" w:hAnsi="Arial" w:eastAsia="Times New Roman" w:cs="Arial"/>
          <w:sz w:val="22"/>
          <w:szCs w:val="22"/>
          <w:vertAlign w:val="subscript"/>
          <w:lang w:val="en-US" w:eastAsia="pt-BR"/>
        </w:rPr>
        <w:t>meteoric water</w:t>
      </w:r>
      <w:r>
        <w:rPr>
          <w:rFonts w:ascii="Arial" w:hAnsi="Arial" w:eastAsia="Times New Roman" w:cs="Arial"/>
          <w:sz w:val="22"/>
          <w:szCs w:val="22"/>
          <w:lang w:val="en-US" w:eastAsia="pt-BR"/>
        </w:rPr>
        <w:t xml:space="preserve"> values ​​calculated from gomphothere tooth enamel are similar to modern δ</w:t>
      </w:r>
      <w:r>
        <w:rPr>
          <w:rFonts w:ascii="Arial" w:hAnsi="Arial" w:eastAsia="Times New Roman" w:cs="Arial"/>
          <w:sz w:val="22"/>
          <w:szCs w:val="22"/>
          <w:vertAlign w:val="superscript"/>
          <w:lang w:val="en-US" w:eastAsia="pt-BR"/>
        </w:rPr>
        <w:t>18</w:t>
      </w:r>
      <w:r>
        <w:rPr>
          <w:rFonts w:ascii="Arial" w:hAnsi="Arial" w:eastAsia="Times New Roman" w:cs="Arial"/>
          <w:sz w:val="22"/>
          <w:szCs w:val="22"/>
          <w:lang w:val="en-US" w:eastAsia="pt-BR"/>
        </w:rPr>
        <w:t>O</w:t>
      </w:r>
      <w:r>
        <w:rPr>
          <w:rFonts w:ascii="Arial" w:hAnsi="Arial" w:eastAsia="Times New Roman" w:cs="Arial"/>
          <w:sz w:val="22"/>
          <w:szCs w:val="22"/>
          <w:vertAlign w:val="subscript"/>
          <w:lang w:val="en-US" w:eastAsia="pt-BR"/>
        </w:rPr>
        <w:t>meteoric water</w:t>
      </w:r>
      <w:r>
        <w:rPr>
          <w:rFonts w:ascii="Arial" w:hAnsi="Arial" w:eastAsia="Times New Roman" w:cs="Arial"/>
          <w:sz w:val="22"/>
          <w:szCs w:val="22"/>
          <w:lang w:val="en-US" w:eastAsia="pt-BR"/>
        </w:rPr>
        <w:t xml:space="preserve"> values </w:t>
      </w:r>
      <w:r>
        <w:rPr>
          <w:rFonts w:ascii="Arial" w:hAnsi="Arial" w:cs="Arial"/>
          <w:sz w:val="22"/>
          <w:szCs w:val="22"/>
          <w:lang w:val="en-US"/>
        </w:rPr>
        <w:t>(Supplementary Data), both in coastal and Andean areas. The δ</w:t>
      </w:r>
      <w:r>
        <w:rPr>
          <w:rFonts w:ascii="Arial" w:hAnsi="Arial" w:cs="Arial"/>
          <w:sz w:val="22"/>
          <w:szCs w:val="22"/>
          <w:vertAlign w:val="superscript"/>
          <w:lang w:val="en-US"/>
        </w:rPr>
        <w:t>18</w:t>
      </w:r>
      <w:r>
        <w:rPr>
          <w:rFonts w:ascii="Arial" w:hAnsi="Arial" w:cs="Arial"/>
          <w:sz w:val="22"/>
          <w:szCs w:val="22"/>
          <w:lang w:val="en-US"/>
        </w:rPr>
        <w:t xml:space="preserve">O values ​​of meteoric water recorded by Andean gomphotheres appear not to have been affected by Atlantic derived  air masses, as these </w:t>
      </w:r>
      <w:r>
        <w:rPr>
          <w:rFonts w:ascii="Arial" w:hAnsi="Arial" w:eastAsia="Times New Roman" w:cs="Arial"/>
          <w:sz w:val="22"/>
          <w:szCs w:val="22"/>
          <w:lang w:val="en-US" w:eastAsia="pt-BR"/>
        </w:rPr>
        <w:t xml:space="preserve">air masses reach the Inter-Andean depression enriched in </w:t>
      </w:r>
      <w:r>
        <w:rPr>
          <w:rFonts w:ascii="Arial" w:hAnsi="Arial" w:eastAsia="Times New Roman" w:cs="Arial"/>
          <w:sz w:val="22"/>
          <w:szCs w:val="22"/>
          <w:vertAlign w:val="superscript"/>
          <w:lang w:val="en-US" w:eastAsia="pt-BR"/>
        </w:rPr>
        <w:t>18</w:t>
      </w:r>
      <w:r>
        <w:rPr>
          <w:rFonts w:ascii="Arial" w:hAnsi="Arial" w:eastAsia="Times New Roman" w:cs="Arial"/>
          <w:sz w:val="22"/>
          <w:szCs w:val="22"/>
          <w:lang w:val="en-US" w:eastAsia="pt-BR"/>
        </w:rPr>
        <w:t xml:space="preserve">O after crossing the Amazon Basin, due to high evapotranspiration (e.g., Salati et al. 1979). </w:t>
      </w:r>
      <w:r>
        <w:rPr>
          <w:rFonts w:ascii="Arial" w:hAnsi="Arial" w:cs="Arial"/>
          <w:sz w:val="22"/>
          <w:szCs w:val="22"/>
          <w:lang w:val="en-US"/>
        </w:rPr>
        <w:t>Furthermore, both in the gomphotheres and in the modern values ​​it can be observed that the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values ​​are affected by the altitudinal gradient (Figure. 3; isotopic gradient: –0.30 ‰ per 100 m for gomphotheres; –0.25‰ per 100 m</w:t>
      </w:r>
      <w:r>
        <w:rPr>
          <w:lang w:val="en-US"/>
        </w:rPr>
        <w:t xml:space="preserve"> </w:t>
      </w:r>
      <w:r>
        <w:rPr>
          <w:rFonts w:ascii="Arial" w:hAnsi="Arial" w:cs="Arial"/>
          <w:sz w:val="22"/>
          <w:szCs w:val="22"/>
          <w:lang w:val="en-US"/>
        </w:rPr>
        <w:t>for modern meteoric water), which is consistent with recent paleoaltimetry studies (i.e. Gébelin et al. 2021; −0.15‰ per 100m). Preliminary, these results suggest that the ​​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meteoric water</w:t>
      </w:r>
      <w:r>
        <w:rPr>
          <w:rFonts w:ascii="Arial" w:hAnsi="Arial" w:cs="Arial"/>
          <w:sz w:val="22"/>
          <w:szCs w:val="22"/>
          <w:lang w:val="en-US"/>
        </w:rPr>
        <w:t xml:space="preserve"> values   from the atmospheric circulation in Ecuador have not undergone major changes from the late Pleistocene to the present.</w:t>
      </w:r>
    </w:p>
    <w:p w14:paraId="6DFC8248">
      <w:pPr>
        <w:spacing w:line="480" w:lineRule="auto"/>
        <w:rPr>
          <w:rFonts w:ascii="Arial" w:hAnsi="Arial" w:cs="Arial"/>
          <w:sz w:val="22"/>
          <w:szCs w:val="22"/>
          <w:lang w:val="en-US"/>
        </w:rPr>
      </w:pPr>
      <w:r>
        <w:rPr>
          <w:rFonts w:ascii="Arial" w:hAnsi="Arial" w:cs="Arial"/>
          <w:sz w:val="22"/>
          <w:szCs w:val="22"/>
          <w:lang w:val="en-US"/>
        </w:rPr>
        <w:t>Further south, in the dry Santa Elena Peninsula (coastal area), it has been hypothesized that abundant water bodies were present during the late Pleistocene, based on the composition of avian assemblages documented in the region (Campbell 2010). Accordingly, palaeoecological niche modelling of extinct megafauna suggests that these large mammals were able to persist in both the Santa Elena Peninsula and the Inter Andean Valley during the late Pleistocene and into the middle Holocene (6 kya; Araújo et al. 2021). In other areas, the adjacent Andean foothills may have supported premontane forests because they were unable to migrate into the arid lowlands. A recent phylogeographic study suggests that the Andean foothills of southwestern Ecuador may have provided suitable environmental conditions for the presence of humid forests during the Pleistocene (Escobar et al. 2021). However, paleoenvironmental evidence from the gomphotheres analyzed in this study, together with pollen records (Heusser and Shackleton 1994), and phylogeographic data (Escobar et al. 2021), indicates that the lowlands of southwestern Ecuador remained dry during recent glacial cycles.</w:t>
      </w:r>
      <w:r>
        <w:t xml:space="preserve"> </w:t>
      </w:r>
      <w:r>
        <w:rPr>
          <w:rFonts w:ascii="Arial" w:hAnsi="Arial" w:cs="Arial"/>
          <w:sz w:val="22"/>
          <w:szCs w:val="22"/>
          <w:lang w:val="en-US"/>
        </w:rPr>
        <w:t>Therefore, given that the δ</w:t>
      </w:r>
      <w:r>
        <w:rPr>
          <w:rFonts w:ascii="Arial" w:hAnsi="Arial" w:cs="Arial"/>
          <w:sz w:val="22"/>
          <w:szCs w:val="22"/>
          <w:vertAlign w:val="superscript"/>
          <w:lang w:val="en-US"/>
        </w:rPr>
        <w:t>13</w:t>
      </w:r>
      <w:r>
        <w:rPr>
          <w:rFonts w:ascii="Arial" w:hAnsi="Arial" w:cs="Arial"/>
          <w:sz w:val="22"/>
          <w:szCs w:val="22"/>
          <w:lang w:val="en-US"/>
        </w:rPr>
        <w:t xml:space="preserve">C isotopic signature is an average of the dental enamel growth time (approx. 3 years in proboscideans), a part of their diet probably consisted of tree vegetation during the seasonal period, either from the consumption of leaves of trees adapted to aridity or during migrations from vegetation located in the valleys. </w:t>
      </w:r>
    </w:p>
    <w:p w14:paraId="480BA110">
      <w:pPr>
        <w:spacing w:line="480" w:lineRule="auto"/>
        <w:rPr>
          <w:rFonts w:ascii="Arial" w:hAnsi="Arial" w:cs="Arial"/>
          <w:i/>
          <w:iCs/>
          <w:sz w:val="22"/>
          <w:szCs w:val="22"/>
          <w:lang w:val="en-US"/>
        </w:rPr>
      </w:pPr>
    </w:p>
    <w:p w14:paraId="451A7291">
      <w:pPr>
        <w:spacing w:line="480" w:lineRule="auto"/>
        <w:rPr>
          <w:rFonts w:ascii="Arial" w:hAnsi="Arial" w:cs="Arial"/>
          <w:i/>
          <w:iCs/>
          <w:sz w:val="22"/>
          <w:szCs w:val="22"/>
          <w:lang w:val="en-US"/>
        </w:rPr>
      </w:pPr>
      <w:r>
        <w:rPr>
          <w:rFonts w:ascii="Arial" w:hAnsi="Arial" w:cs="Arial"/>
          <w:i/>
          <w:iCs/>
          <w:sz w:val="22"/>
          <w:szCs w:val="22"/>
          <w:lang w:val="en-US"/>
        </w:rPr>
        <w:t>4.4. Refuge theory</w:t>
      </w:r>
    </w:p>
    <w:p w14:paraId="1826ADE0">
      <w:pPr>
        <w:spacing w:line="480" w:lineRule="auto"/>
        <w:rPr>
          <w:rFonts w:ascii="Arial" w:hAnsi="Arial" w:cs="Arial"/>
          <w:sz w:val="22"/>
          <w:szCs w:val="22"/>
          <w:lang w:val="en-US"/>
        </w:rPr>
      </w:pPr>
    </w:p>
    <w:p w14:paraId="233400A7">
      <w:pPr>
        <w:spacing w:line="480" w:lineRule="auto"/>
        <w:rPr>
          <w:rFonts w:ascii="Arial" w:hAnsi="Arial" w:cs="Arial"/>
          <w:sz w:val="22"/>
          <w:szCs w:val="22"/>
          <w:lang w:val="en-US"/>
        </w:rPr>
      </w:pPr>
      <w:r>
        <w:rPr>
          <w:rFonts w:ascii="Arial" w:hAnsi="Arial" w:cs="Arial"/>
          <w:sz w:val="22"/>
          <w:szCs w:val="22"/>
          <w:lang w:val="en-US"/>
        </w:rPr>
        <w:t xml:space="preserve">A recent phylogeographic and paleoclimatic study of the endemic palm </w:t>
      </w:r>
      <w:r>
        <w:rPr>
          <w:rFonts w:ascii="Arial" w:hAnsi="Arial" w:cs="Arial"/>
          <w:i/>
          <w:iCs/>
          <w:sz w:val="22"/>
          <w:szCs w:val="22"/>
          <w:lang w:val="en-US"/>
        </w:rPr>
        <w:t>Phytelephas aequatorialis</w:t>
      </w:r>
      <w:r>
        <w:rPr>
          <w:rFonts w:ascii="Arial" w:hAnsi="Arial" w:cs="Arial"/>
          <w:sz w:val="22"/>
          <w:szCs w:val="22"/>
          <w:lang w:val="en-US"/>
        </w:rPr>
        <w:t xml:space="preserve"> (Escobar et al. 2021) suggests that populations inhabiting the Andean foothills of northwestern Ecuador migrated downslope into the lowlands during glacial cycles, consistent with the moist forest model, while maintaining connectivity with populations in the Chocó refugium. In contrast, southern populations may have taken refuge in a narrow strip of Andean foothills in southwestern Ecuador. These populations could have survived the Pleistocene in isolation on the Andean slopes, as they were unable to migrate to the lowlands of southwestern Ecuador due to the aridity of these areas during glacial cycles. Unlike the northern populations the southern ones support the dry refuge model. </w:t>
      </w:r>
    </w:p>
    <w:p w14:paraId="29173C37">
      <w:pPr>
        <w:spacing w:line="480" w:lineRule="auto"/>
        <w:rPr>
          <w:rFonts w:ascii="Arial" w:hAnsi="Arial" w:cs="Arial"/>
          <w:sz w:val="22"/>
          <w:szCs w:val="22"/>
          <w:lang w:val="en-US"/>
        </w:rPr>
      </w:pPr>
      <w:r>
        <w:rPr>
          <w:rFonts w:ascii="Arial" w:hAnsi="Arial" w:cs="Arial"/>
          <w:sz w:val="22"/>
          <w:szCs w:val="22"/>
          <w:lang w:val="en-US"/>
        </w:rPr>
        <w:t xml:space="preserve">In our study, the multiproxy approach also supports the dry refuge model for the following reasons: </w:t>
      </w:r>
    </w:p>
    <w:p w14:paraId="1AF47E26">
      <w:pPr>
        <w:spacing w:line="480" w:lineRule="auto"/>
        <w:rPr>
          <w:rFonts w:ascii="Arial" w:hAnsi="Arial" w:cs="Arial"/>
          <w:sz w:val="22"/>
          <w:szCs w:val="22"/>
          <w:lang w:val="en-US"/>
        </w:rPr>
      </w:pPr>
      <w:r>
        <w:rPr>
          <w:rFonts w:ascii="Arial" w:hAnsi="Arial" w:cs="Arial"/>
          <w:sz w:val="22"/>
          <w:szCs w:val="22"/>
          <w:lang w:val="en-US"/>
        </w:rPr>
        <w:t xml:space="preserve">1) in the coastal region(Santa Elena and Manabí provinces), an arid and open environment pattern is observed. At present, these environmental conditions are favored by strong aridity forcing mechanisms, including the cold Humboldt Current which inhibits the formation of rain clouds, subtropical anticyclones that generate dry air masses, and the Andes mountain range which blocks humid easterly winds. </w:t>
      </w:r>
    </w:p>
    <w:p w14:paraId="0347E408">
      <w:pPr>
        <w:spacing w:line="480" w:lineRule="auto"/>
        <w:rPr>
          <w:rFonts w:ascii="Arial" w:hAnsi="Arial" w:cs="Arial"/>
          <w:sz w:val="22"/>
          <w:szCs w:val="22"/>
          <w:lang w:val="en-US"/>
        </w:rPr>
      </w:pPr>
      <w:r>
        <w:rPr>
          <w:rFonts w:ascii="Arial" w:hAnsi="Arial" w:cs="Arial"/>
          <w:sz w:val="22"/>
          <w:szCs w:val="22"/>
          <w:lang w:val="en-US"/>
        </w:rPr>
        <w:t>2) at mid to high elevations, in the inter-Andean valley, our results indicate a trend towards drier and more open environments. Today, such conditions are widespread in this region and result from the orographic effects of the western and eastern Andes Range that act as natural barriers to moisture. Humid air masses from both the Pacific Ocean and the Amazon Basin are forced to rise along the outer slopes of the Andes, where colling and condensations produces} significant precipitation in the foothills and at higher, allowing the existences of cloud forests and humid paramos. Once the air passes over the peaks and descends into the interior of the Andean valley, it has lost most of its moisture (</w:t>
      </w:r>
      <w:r>
        <w:rPr>
          <w:rFonts w:ascii="Arial" w:hAnsi="Arial" w:cs="Arial"/>
          <w:sz w:val="22"/>
          <w:szCs w:val="22"/>
          <w:lang/>
        </w:rPr>
        <w:t>Montilla-Pacheco</w:t>
      </w:r>
      <w:r>
        <w:rPr>
          <w:rFonts w:ascii="Arial" w:hAnsi="Arial" w:cs="Arial"/>
          <w:sz w:val="22"/>
          <w:szCs w:val="22"/>
          <w:lang w:val="en-US"/>
        </w:rPr>
        <w:t xml:space="preserve"> et al. 2024). Nevertheless, wetter and forested patches persist in the region, suggesting environmental heterogeneity. During many periods of the Pleistocene, the valley may have resembled this current configuration (Figure 1), consistent with our results indicating a more heterogeneous environment at the time of the gomphotheres' existence. </w:t>
      </w:r>
    </w:p>
    <w:p w14:paraId="1F707593">
      <w:pPr>
        <w:spacing w:line="480" w:lineRule="auto"/>
        <w:rPr>
          <w:rFonts w:ascii="Arial" w:hAnsi="Arial" w:cs="Arial"/>
          <w:sz w:val="22"/>
          <w:szCs w:val="22"/>
          <w:lang w:val="en-US"/>
        </w:rPr>
      </w:pPr>
      <w:r>
        <w:rPr>
          <w:rFonts w:ascii="Arial" w:hAnsi="Arial" w:cs="Arial"/>
          <w:sz w:val="22"/>
          <w:szCs w:val="22"/>
          <w:lang w:val="en-US"/>
        </w:rPr>
        <w:t xml:space="preserve">3) In addition, at </w:t>
      </w:r>
      <w:r>
        <w:rPr>
          <w:rFonts w:ascii="Arial" w:hAnsi="Arial" w:cs="Arial"/>
          <w:sz w:val="22"/>
          <w:szCs w:val="22"/>
        </w:rPr>
        <w:t>at mid- to high elevations</w:t>
      </w:r>
      <w:r>
        <w:rPr>
          <w:rFonts w:ascii="Arial" w:hAnsi="Arial" w:cs="Arial"/>
          <w:sz w:val="22"/>
          <w:szCs w:val="22"/>
          <w:lang w:val="en-US"/>
        </w:rPr>
        <w:t>, isotopic evidence of C</w:t>
      </w:r>
      <w:r>
        <w:rPr>
          <w:rFonts w:ascii="Arial" w:hAnsi="Arial" w:cs="Arial"/>
          <w:sz w:val="22"/>
          <w:szCs w:val="22"/>
          <w:vertAlign w:val="subscript"/>
          <w:lang w:val="en-US"/>
        </w:rPr>
        <w:t>4</w:t>
      </w:r>
      <w:r>
        <w:rPr>
          <w:rFonts w:ascii="Arial" w:hAnsi="Arial" w:cs="Arial"/>
          <w:sz w:val="22"/>
          <w:szCs w:val="22"/>
          <w:lang w:val="en-US"/>
        </w:rPr>
        <w:t xml:space="preserve"> vegetation consumption by some individuals further supports the presences of open and dry environments. </w:t>
      </w:r>
    </w:p>
    <w:p w14:paraId="5F0EABF3">
      <w:pPr>
        <w:spacing w:line="480" w:lineRule="auto"/>
        <w:rPr>
          <w:rFonts w:ascii="Arial" w:hAnsi="Arial" w:cs="Arial"/>
          <w:sz w:val="22"/>
          <w:szCs w:val="22"/>
          <w:lang w:val="en-US"/>
        </w:rPr>
      </w:pPr>
      <w:r>
        <w:rPr>
          <w:rFonts w:ascii="Arial" w:hAnsi="Arial" w:cs="Arial"/>
          <w:sz w:val="22"/>
          <w:szCs w:val="22"/>
          <w:lang w:val="en-US"/>
        </w:rPr>
        <w:t>Finally, while our research cannot rule out alternative interpretations that challenge the dry refuge hypothesis (e.g., Hostetler and Mix 1999; Colinvaux and De Oliveira 2001) the weight of evidence from our study supports this framework.  Given the compelling evidence documenting a generalist/opportunistic behavior in gomphotheres, a greater signal for forested environments in Ecuador would be expected if such habitats had been widely present in Ecuador during the late Pleistocene</w:t>
      </w:r>
      <w:r>
        <w:t xml:space="preserve">. </w:t>
      </w:r>
      <w:r>
        <w:rPr>
          <w:rFonts w:ascii="Arial" w:hAnsi="Arial" w:cs="Arial"/>
          <w:sz w:val="22"/>
          <w:szCs w:val="22"/>
        </w:rPr>
        <w:t>However, this pattern is not observed in our results.</w:t>
      </w:r>
    </w:p>
    <w:p w14:paraId="492203CA">
      <w:pPr>
        <w:spacing w:line="480" w:lineRule="auto"/>
        <w:rPr>
          <w:rFonts w:ascii="Arial" w:hAnsi="Arial" w:cs="Arial"/>
          <w:sz w:val="22"/>
          <w:szCs w:val="22"/>
          <w:lang w:val="en-US"/>
        </w:rPr>
      </w:pPr>
    </w:p>
    <w:p w14:paraId="4026BD68">
      <w:pPr>
        <w:spacing w:line="480" w:lineRule="auto"/>
        <w:rPr>
          <w:rFonts w:ascii="Arial" w:hAnsi="Arial" w:cs="Arial"/>
          <w:b/>
          <w:bCs/>
          <w:sz w:val="22"/>
          <w:szCs w:val="22"/>
          <w:lang w:val="en-US"/>
        </w:rPr>
      </w:pPr>
      <w:r>
        <w:rPr>
          <w:rFonts w:ascii="Arial" w:hAnsi="Arial" w:cs="Arial"/>
          <w:b/>
          <w:bCs/>
          <w:sz w:val="22"/>
          <w:szCs w:val="22"/>
          <w:lang w:val="en-US"/>
        </w:rPr>
        <w:t>5. Conclusions</w:t>
      </w:r>
    </w:p>
    <w:p w14:paraId="09AB3567">
      <w:pPr>
        <w:spacing w:line="480" w:lineRule="auto"/>
        <w:rPr>
          <w:rFonts w:ascii="Arial" w:hAnsi="Arial" w:cs="Arial"/>
          <w:b/>
          <w:bCs/>
          <w:sz w:val="22"/>
          <w:szCs w:val="22"/>
          <w:lang w:val="en-US"/>
        </w:rPr>
      </w:pPr>
    </w:p>
    <w:p w14:paraId="40DE23DB">
      <w:pPr>
        <w:spacing w:line="480" w:lineRule="auto"/>
        <w:rPr>
          <w:rFonts w:ascii="Arial" w:hAnsi="Arial" w:cs="Arial"/>
          <w:sz w:val="22"/>
          <w:szCs w:val="22"/>
          <w:lang w:val="en-US"/>
        </w:rPr>
      </w:pPr>
      <w:r>
        <w:rPr>
          <w:rFonts w:ascii="Arial" w:hAnsi="Arial" w:cs="Arial"/>
          <w:sz w:val="22"/>
          <w:szCs w:val="22"/>
          <w:lang w:val="en-US"/>
        </w:rPr>
        <w:t>The results of δ</w:t>
      </w:r>
      <w:r>
        <w:rPr>
          <w:rFonts w:ascii="Arial" w:hAnsi="Arial" w:cs="Arial"/>
          <w:sz w:val="22"/>
          <w:szCs w:val="22"/>
          <w:vertAlign w:val="superscript"/>
          <w:lang w:val="en-US"/>
        </w:rPr>
        <w:t>13</w:t>
      </w:r>
      <w:r>
        <w:rPr>
          <w:rFonts w:ascii="Arial" w:hAnsi="Arial" w:cs="Arial"/>
          <w:sz w:val="22"/>
          <w:szCs w:val="22"/>
          <w:lang w:val="en-US"/>
        </w:rPr>
        <w:t>C and dental microwear ​​show that the gomphotheres of Ecuador lived in diverse environments, but mostly in open to semi-open and arid environments. In the coastal area, the δ</w:t>
      </w:r>
      <w:r>
        <w:rPr>
          <w:rFonts w:ascii="Arial" w:hAnsi="Arial" w:cs="Arial"/>
          <w:sz w:val="22"/>
          <w:szCs w:val="22"/>
          <w:vertAlign w:val="superscript"/>
          <w:lang w:val="en-US"/>
        </w:rPr>
        <w:t>18</w:t>
      </w:r>
      <w:r>
        <w:rPr>
          <w:rFonts w:ascii="Arial" w:hAnsi="Arial" w:cs="Arial"/>
          <w:sz w:val="22"/>
          <w:szCs w:val="22"/>
          <w:lang w:val="en-US"/>
        </w:rPr>
        <w:t xml:space="preserve">O signal of meteoric water ​​indicates a predominantly warm climate, while at higher elevations the climate was colder. </w:t>
      </w:r>
    </w:p>
    <w:p w14:paraId="3F6B2E59">
      <w:pPr>
        <w:spacing w:line="480" w:lineRule="auto"/>
        <w:rPr>
          <w:rFonts w:ascii="Arial" w:hAnsi="Arial" w:cs="Arial"/>
          <w:sz w:val="22"/>
          <w:szCs w:val="22"/>
          <w:lang w:val="en-US"/>
        </w:rPr>
      </w:pPr>
      <w:r>
        <w:rPr>
          <w:rFonts w:ascii="Arial" w:hAnsi="Arial" w:cs="Arial"/>
          <w:sz w:val="22"/>
          <w:szCs w:val="22"/>
          <w:lang w:val="en-US"/>
        </w:rPr>
        <w:t xml:space="preserve">From a paleoclimatic perspective, when comparing </w:t>
      </w:r>
      <w:r>
        <w:rPr>
          <w:rFonts w:ascii="Arial" w:hAnsi="Arial" w:cs="Arial"/>
          <w:sz w:val="22"/>
          <w:szCs w:val="22"/>
        </w:rPr>
        <w:t>δ</w:t>
      </w:r>
      <w:r>
        <w:rPr>
          <w:rFonts w:ascii="Arial" w:hAnsi="Arial" w:cs="Arial"/>
          <w:sz w:val="22"/>
          <w:szCs w:val="22"/>
          <w:vertAlign w:val="superscript"/>
          <w:lang w:val="en-US"/>
        </w:rPr>
        <w:t>18</w:t>
      </w:r>
      <w:r>
        <w:rPr>
          <w:rFonts w:ascii="Arial" w:hAnsi="Arial" w:cs="Arial"/>
          <w:sz w:val="22"/>
          <w:szCs w:val="22"/>
          <w:lang w:val="en-US"/>
        </w:rPr>
        <w:t xml:space="preserve">O meteoric water values ​​from gomphotheres and modern sources in Ecuador, we did not observe significant differences. Therefore, it is possible that the climatic fluctuations of the Late Pleistocene did not affect the </w:t>
      </w:r>
      <w:r>
        <w:rPr>
          <w:rFonts w:ascii="Arial" w:hAnsi="Arial" w:cs="Arial"/>
          <w:sz w:val="22"/>
          <w:szCs w:val="22"/>
        </w:rPr>
        <w:t>δ</w:t>
      </w:r>
      <w:r>
        <w:rPr>
          <w:rFonts w:ascii="Arial" w:hAnsi="Arial" w:cs="Arial"/>
          <w:sz w:val="22"/>
          <w:szCs w:val="22"/>
          <w:vertAlign w:val="superscript"/>
          <w:lang w:val="en-US"/>
        </w:rPr>
        <w:t>18</w:t>
      </w:r>
      <w:r>
        <w:rPr>
          <w:rFonts w:ascii="Arial" w:hAnsi="Arial" w:cs="Arial"/>
          <w:sz w:val="22"/>
          <w:szCs w:val="22"/>
          <w:lang w:val="en-US"/>
        </w:rPr>
        <w:t xml:space="preserve">O meteoric water values ​​contrary to what is observed in some regions of the northern hemisphere. Could this suggest that the climatic and environmental conditions in some provinces of Ecuador (e.g. Santa Elena) have remained relatively stable since the Last Glacial Maximum? Our study detects climate stability, at least for the chronological range studied. </w:t>
      </w:r>
    </w:p>
    <w:p w14:paraId="17ADA9E4">
      <w:pPr>
        <w:spacing w:line="480" w:lineRule="auto"/>
        <w:rPr>
          <w:rFonts w:ascii="Arial" w:hAnsi="Arial" w:cs="Arial"/>
          <w:sz w:val="22"/>
          <w:szCs w:val="22"/>
          <w:lang w:val="en-US"/>
        </w:rPr>
      </w:pPr>
      <w:r>
        <w:rPr>
          <w:rFonts w:ascii="Arial" w:hAnsi="Arial" w:cs="Arial"/>
          <w:sz w:val="22"/>
          <w:szCs w:val="22"/>
          <w:lang w:val="en-US"/>
        </w:rPr>
        <w:t>From a paleoecological perspective, our study contributes to a better understanding of paleobiogeographic patterns of Ecuadorian vegetation and provides new insights into the paleodiet of herbivorous extinct mammals. First, our results support the dry refuge model, primarily in the Inter-Andean Valley where forests may have been restricted to mid-elevations due to their proximity to adjacent dry areas. In contrast, coastal results support the dry refuge model only indirectly, since they do not provide evidence for the persistence of vegetation in the mountains, but rather demonstrate that this part of the Ecuadorian coast was dry during the Pleistocene, similar to the present day conditions. Second, we present new evidence supporting the idea that the diet of generalist/opportunistic herbivorous mammals appears to be more limited by environmental resource availability than by the dietary breadth estimated through morpho-functional inferences (e.g., molars adapted for cutting, crushing, grinding, etc.). Thus, the gomphotheres of Ecuador and Chile are positioned as iconic cases in South American paleoecology, as they possess entirely different diets due to the different environments in which they occupied.</w:t>
      </w:r>
    </w:p>
    <w:p w14:paraId="08F636CE">
      <w:pPr>
        <w:spacing w:line="480" w:lineRule="auto"/>
        <w:rPr>
          <w:rFonts w:ascii="Arial" w:hAnsi="Arial" w:cs="Arial"/>
          <w:sz w:val="22"/>
          <w:szCs w:val="22"/>
          <w:lang w:val="en-US"/>
        </w:rPr>
      </w:pPr>
    </w:p>
    <w:p w14:paraId="40C4C370">
      <w:pPr>
        <w:spacing w:line="480" w:lineRule="auto"/>
        <w:rPr>
          <w:rFonts w:ascii="Arial" w:hAnsi="Arial" w:cs="Arial"/>
          <w:b/>
          <w:bCs/>
          <w:sz w:val="22"/>
          <w:szCs w:val="22"/>
          <w:lang w:val="en-US"/>
        </w:rPr>
      </w:pPr>
      <w:r>
        <w:rPr>
          <w:rFonts w:ascii="Arial" w:hAnsi="Arial" w:cs="Arial"/>
          <w:b/>
          <w:bCs/>
          <w:sz w:val="22"/>
          <w:szCs w:val="22"/>
          <w:lang w:val="en-US"/>
        </w:rPr>
        <w:t>Acknowledgment</w:t>
      </w:r>
    </w:p>
    <w:p w14:paraId="398F6BEB">
      <w:pPr>
        <w:spacing w:line="480" w:lineRule="auto"/>
        <w:rPr>
          <w:rFonts w:ascii="Arial" w:hAnsi="Arial" w:cs="Arial"/>
          <w:b/>
          <w:bCs/>
          <w:sz w:val="22"/>
          <w:szCs w:val="22"/>
          <w:lang w:val="en-US"/>
        </w:rPr>
      </w:pPr>
    </w:p>
    <w:p w14:paraId="578A849D">
      <w:pPr>
        <w:spacing w:line="480" w:lineRule="auto"/>
        <w:rPr>
          <w:rFonts w:ascii="Arial" w:hAnsi="Arial" w:cs="Arial"/>
          <w:sz w:val="22"/>
          <w:szCs w:val="22"/>
          <w:shd w:val="clear" w:color="auto" w:fill="FFFFFF"/>
        </w:rPr>
      </w:pPr>
      <w:r>
        <w:rPr>
          <w:rFonts w:ascii="Arial" w:hAnsi="Arial" w:cs="Arial"/>
          <w:sz w:val="22"/>
          <w:szCs w:val="22"/>
          <w:lang w:val="en-US"/>
        </w:rPr>
        <w:t xml:space="preserve">We are sincerely grateful of the paleontological collection at Laboratorio de Paleontología de la Escuela Politécnica de Quito, Ecuador. </w:t>
      </w:r>
      <w:r>
        <w:rPr>
          <w:rFonts w:ascii="Arial" w:hAnsi="Arial" w:cs="Arial"/>
          <w:sz w:val="22"/>
          <w:szCs w:val="22"/>
          <w:shd w:val="clear" w:color="auto" w:fill="FFFFFF"/>
        </w:rPr>
        <w:t xml:space="preserve">The research of EGG is supported by the Fondecyt Initiation Project 11241036 belonging to the National Research and Development Agency, Chile. The research of CT is supported by the READ project, funded by the European Research Council (ERC) under the European Union’s HORIZON ERC programme (Grant agreement No. 101088071). The research of FR was supported by the Spanish Ministry of Science, Innovation and Universities research project PID2022-138590NB-C41 funded by MICIUN/AEI/10.13039/501100011033 and FEDER, UE, and the “María de Maeztu” excellence accreditation (CEX2019-000945-M), and by the Generalitat de Catalunya- AGAUR through projects 2021 SGR 01237 and 2023-2027 PFR-URV-01237. The researcher SE thanks the project 590.A.XVII.25 of the University of the Americas, Ecuador. The research of NV is supported by the grant Fondecyt Iniciación N°11230891 (ANID, Chile). The research of LA is supported by the Conselho Nacional de Desenvolvimento Científico e Tecnológico through the post-doctoral fellowship CNPq PDJ (process number: 173000/2023-1).  </w:t>
      </w:r>
    </w:p>
    <w:p w14:paraId="0B94CEB7">
      <w:pPr>
        <w:spacing w:line="480" w:lineRule="auto"/>
        <w:rPr>
          <w:rFonts w:ascii="Arial" w:hAnsi="Arial" w:cs="Arial"/>
          <w:sz w:val="22"/>
          <w:szCs w:val="22"/>
          <w:shd w:val="clear" w:color="auto" w:fill="FFFFFF"/>
        </w:rPr>
      </w:pPr>
    </w:p>
    <w:p w14:paraId="73CE399B">
      <w:pPr>
        <w:spacing w:line="480" w:lineRule="auto"/>
        <w:rPr>
          <w:rFonts w:ascii="Arial" w:hAnsi="Arial" w:cs="Arial"/>
          <w:sz w:val="22"/>
          <w:szCs w:val="22"/>
          <w:shd w:val="clear" w:color="auto" w:fill="FFFFFF"/>
        </w:rPr>
      </w:pPr>
    </w:p>
    <w:p w14:paraId="5B9B89C2">
      <w:pPr>
        <w:spacing w:line="480" w:lineRule="auto"/>
        <w:rPr>
          <w:rFonts w:ascii="Arial" w:hAnsi="Arial" w:cs="Arial"/>
          <w:sz w:val="22"/>
          <w:szCs w:val="22"/>
          <w:shd w:val="clear" w:color="auto" w:fill="FFFFFF"/>
        </w:rPr>
      </w:pPr>
    </w:p>
    <w:p w14:paraId="58EED7DB">
      <w:pPr>
        <w:spacing w:line="480" w:lineRule="auto"/>
        <w:rPr>
          <w:rFonts w:ascii="Arial" w:hAnsi="Arial" w:cs="Arial"/>
          <w:sz w:val="22"/>
          <w:szCs w:val="22"/>
          <w:shd w:val="clear" w:color="auto" w:fill="FFFFFF"/>
        </w:rPr>
      </w:pPr>
    </w:p>
    <w:p w14:paraId="6412448D">
      <w:pPr>
        <w:spacing w:line="480" w:lineRule="auto"/>
        <w:rPr>
          <w:rFonts w:ascii="Arial" w:hAnsi="Arial" w:cs="Arial"/>
          <w:sz w:val="22"/>
          <w:szCs w:val="22"/>
          <w:shd w:val="clear" w:color="auto" w:fill="FFFFFF"/>
        </w:rPr>
      </w:pPr>
    </w:p>
    <w:p w14:paraId="58E0376A">
      <w:pPr>
        <w:spacing w:line="480" w:lineRule="auto"/>
        <w:rPr>
          <w:rFonts w:ascii="Arial" w:hAnsi="Arial" w:cs="Arial"/>
          <w:b/>
          <w:bCs/>
          <w:color w:val="222222"/>
          <w:sz w:val="22"/>
          <w:szCs w:val="22"/>
          <w:shd w:val="clear" w:color="auto" w:fill="FFFFFF"/>
        </w:rPr>
      </w:pPr>
      <w:r>
        <w:rPr>
          <w:rFonts w:ascii="Arial" w:hAnsi="Arial" w:cs="Arial"/>
          <w:b/>
          <w:bCs/>
          <w:color w:val="222222"/>
          <w:sz w:val="22"/>
          <w:szCs w:val="22"/>
          <w:shd w:val="clear" w:color="auto" w:fill="FFFFFF"/>
        </w:rPr>
        <w:t>Data Availability statement</w:t>
      </w:r>
    </w:p>
    <w:p w14:paraId="02ADB6BF">
      <w:pPr>
        <w:spacing w:line="480" w:lineRule="auto"/>
        <w:rPr>
          <w:rFonts w:ascii="Arial" w:hAnsi="Arial" w:cs="Arial"/>
          <w:b/>
          <w:bCs/>
          <w:sz w:val="22"/>
          <w:szCs w:val="22"/>
          <w:shd w:val="clear" w:color="auto" w:fill="FFFFFF"/>
        </w:rPr>
      </w:pPr>
    </w:p>
    <w:p w14:paraId="67C10E21">
      <w:pPr>
        <w:spacing w:line="480" w:lineRule="auto"/>
        <w:rPr>
          <w:rFonts w:ascii="Arial" w:hAnsi="Arial" w:cs="Arial"/>
          <w:b/>
          <w:bCs/>
          <w:sz w:val="22"/>
          <w:szCs w:val="22"/>
          <w:shd w:val="clear" w:color="auto" w:fill="FFFFFF"/>
        </w:rPr>
      </w:pPr>
      <w:r>
        <w:rPr>
          <w:rFonts w:ascii="Open Sans" w:hAnsi="Open Sans" w:cs="Open Sans"/>
          <w:color w:val="1C1D1E"/>
          <w:sz w:val="21"/>
          <w:szCs w:val="21"/>
          <w:shd w:val="clear" w:color="auto" w:fill="FFFFFF"/>
        </w:rPr>
        <w:t xml:space="preserve">The DAS describes the availability of data. The data for this article is available in an Excel file called Supplementary Material. </w:t>
      </w:r>
    </w:p>
    <w:p w14:paraId="70C8C1B2">
      <w:pPr>
        <w:spacing w:line="480" w:lineRule="auto"/>
        <w:rPr>
          <w:rFonts w:ascii="Arial" w:hAnsi="Arial" w:cs="Arial"/>
          <w:b/>
          <w:bCs/>
          <w:sz w:val="22"/>
          <w:szCs w:val="22"/>
        </w:rPr>
      </w:pPr>
    </w:p>
    <w:p w14:paraId="4DF9D211">
      <w:pPr>
        <w:spacing w:line="480" w:lineRule="auto"/>
        <w:rPr>
          <w:rFonts w:ascii="Arial" w:hAnsi="Arial" w:cs="Arial"/>
          <w:b/>
          <w:bCs/>
          <w:sz w:val="22"/>
          <w:szCs w:val="22"/>
        </w:rPr>
      </w:pPr>
      <w:r>
        <w:rPr>
          <w:rFonts w:ascii="Arial" w:hAnsi="Arial" w:cs="Arial"/>
          <w:b/>
          <w:bCs/>
          <w:sz w:val="22"/>
          <w:szCs w:val="22"/>
        </w:rPr>
        <w:t>References</w:t>
      </w:r>
    </w:p>
    <w:p w14:paraId="3F58EF01">
      <w:pPr>
        <w:spacing w:line="480" w:lineRule="auto"/>
        <w:rPr>
          <w:rFonts w:ascii="Arial" w:hAnsi="Arial" w:cs="Arial"/>
          <w:b/>
          <w:bCs/>
          <w:sz w:val="22"/>
          <w:szCs w:val="22"/>
        </w:rPr>
      </w:pPr>
    </w:p>
    <w:p w14:paraId="18419657">
      <w:pPr>
        <w:spacing w:line="480" w:lineRule="auto"/>
        <w:ind w:left="709" w:hanging="709"/>
        <w:rPr>
          <w:rFonts w:ascii="Arial" w:hAnsi="Arial" w:cs="Arial"/>
          <w:sz w:val="22"/>
          <w:szCs w:val="22"/>
          <w:lang/>
        </w:rPr>
      </w:pPr>
      <w:r>
        <w:rPr>
          <w:rFonts w:ascii="Arial" w:hAnsi="Arial" w:cs="Arial"/>
          <w:sz w:val="22"/>
          <w:szCs w:val="22"/>
          <w:lang/>
        </w:rPr>
        <w:t xml:space="preserve">Ayliffe, L.K., Lister, A.M., Chivas, A.R., 1992. The preservation of glacial-interglacial climatic signatures in the oxygen isotopes of elephant skeletal phosphate. </w:t>
      </w:r>
      <w:r>
        <w:rPr>
          <w:rFonts w:ascii="Arial" w:hAnsi="Arial" w:cs="Arial"/>
          <w:i/>
          <w:iCs/>
          <w:sz w:val="22"/>
          <w:szCs w:val="22"/>
          <w:lang/>
        </w:rPr>
        <w:t>Palaeogeography, Palaeoclimatology, Palaeoecology</w:t>
      </w:r>
      <w:r>
        <w:rPr>
          <w:rFonts w:ascii="Arial" w:hAnsi="Arial" w:cs="Arial"/>
          <w:sz w:val="22"/>
          <w:szCs w:val="22"/>
          <w:lang/>
        </w:rPr>
        <w:t>. 99, 179-191.</w:t>
      </w:r>
    </w:p>
    <w:p w14:paraId="03FCB63D">
      <w:pPr>
        <w:spacing w:line="480" w:lineRule="auto"/>
        <w:ind w:left="709" w:hanging="709"/>
        <w:rPr>
          <w:rFonts w:ascii="Arial" w:hAnsi="Arial" w:cs="Arial"/>
          <w:sz w:val="22"/>
          <w:szCs w:val="22"/>
          <w:lang w:val="it-IT"/>
        </w:rPr>
      </w:pPr>
      <w:r>
        <w:rPr>
          <w:rFonts w:ascii="Arial" w:hAnsi="Arial" w:cs="Arial"/>
          <w:sz w:val="22"/>
          <w:szCs w:val="22"/>
        </w:rPr>
        <w:t xml:space="preserve">Araújo, T., Machado, H., Mothé, D., dos Santos Avilla, L., 2021. </w:t>
      </w:r>
      <w:r>
        <w:rPr>
          <w:rFonts w:ascii="Arial" w:hAnsi="Arial" w:cs="Arial"/>
          <w:sz w:val="22"/>
          <w:szCs w:val="22"/>
          <w:lang w:val="en-US"/>
        </w:rPr>
        <w:t xml:space="preserve">Species distribution modeling reveals the ecological niche of extinct megafauna from South America. </w:t>
      </w:r>
      <w:r>
        <w:rPr>
          <w:rFonts w:ascii="Arial" w:hAnsi="Arial" w:cs="Arial"/>
          <w:i/>
          <w:iCs/>
          <w:sz w:val="22"/>
          <w:szCs w:val="22"/>
          <w:lang w:val="it-IT"/>
        </w:rPr>
        <w:t>Quaternary Research</w:t>
      </w:r>
      <w:r>
        <w:rPr>
          <w:rFonts w:ascii="Arial" w:hAnsi="Arial" w:cs="Arial"/>
          <w:sz w:val="22"/>
          <w:szCs w:val="22"/>
          <w:lang w:val="it-IT"/>
        </w:rPr>
        <w:t xml:space="preserve">. 104, 151-158. </w:t>
      </w:r>
      <w:r>
        <w:fldChar w:fldCharType="begin"/>
      </w:r>
      <w:r>
        <w:instrText xml:space="preserve"> HYPERLINK "https://doi.org/10.1017/qua.2021.24" </w:instrText>
      </w:r>
      <w:r>
        <w:fldChar w:fldCharType="separate"/>
      </w:r>
      <w:r>
        <w:rPr>
          <w:rStyle w:val="12"/>
          <w:rFonts w:ascii="Arial" w:hAnsi="Arial" w:eastAsia="Times New Roman" w:cs="Arial"/>
          <w:color w:val="auto"/>
          <w:sz w:val="22"/>
          <w:szCs w:val="22"/>
          <w:u w:val="none"/>
          <w:shd w:val="clear" w:color="auto" w:fill="FFFFFF"/>
          <w:lang w:val="it-IT"/>
        </w:rPr>
        <w:t>https://doi.org/</w:t>
      </w:r>
      <w:r>
        <w:rPr>
          <w:rStyle w:val="12"/>
          <w:rFonts w:ascii="Arial" w:hAnsi="Arial" w:cs="Arial"/>
          <w:color w:val="auto"/>
          <w:sz w:val="22"/>
          <w:szCs w:val="22"/>
          <w:u w:val="none"/>
          <w:lang w:val="it-IT"/>
        </w:rPr>
        <w:t>10.1017/qua.2021.24</w:t>
      </w:r>
      <w:r>
        <w:rPr>
          <w:rStyle w:val="12"/>
          <w:rFonts w:ascii="Arial" w:hAnsi="Arial" w:cs="Arial"/>
          <w:color w:val="auto"/>
          <w:sz w:val="22"/>
          <w:szCs w:val="22"/>
          <w:u w:val="none"/>
          <w:lang w:val="it-IT"/>
        </w:rPr>
        <w:fldChar w:fldCharType="end"/>
      </w:r>
      <w:r>
        <w:rPr>
          <w:rFonts w:ascii="Arial" w:hAnsi="Arial" w:cs="Arial"/>
          <w:sz w:val="22"/>
          <w:szCs w:val="22"/>
          <w:lang w:val="it-IT"/>
        </w:rPr>
        <w:t>.</w:t>
      </w:r>
    </w:p>
    <w:p w14:paraId="0CD4EFBD">
      <w:pPr>
        <w:spacing w:line="480" w:lineRule="auto"/>
        <w:ind w:left="709" w:hanging="709"/>
        <w:rPr>
          <w:rFonts w:ascii="Arial" w:hAnsi="Arial" w:cs="Arial"/>
          <w:sz w:val="22"/>
          <w:szCs w:val="22"/>
          <w:lang/>
        </w:rPr>
      </w:pPr>
      <w:r>
        <w:rPr>
          <w:rFonts w:ascii="Arial" w:hAnsi="Arial" w:cs="Arial"/>
          <w:sz w:val="22"/>
          <w:szCs w:val="22"/>
          <w:lang/>
        </w:rPr>
        <w:t>Asevedo, L., 2015. Paleoecologia alimentar dos gonfotérios (Proboscidea: Mammalia)</w:t>
      </w:r>
    </w:p>
    <w:p w14:paraId="1434958B">
      <w:pPr>
        <w:spacing w:line="480" w:lineRule="auto"/>
        <w:ind w:left="709" w:hanging="709"/>
        <w:rPr>
          <w:rFonts w:ascii="Arial" w:hAnsi="Arial" w:cs="Arial"/>
          <w:sz w:val="22"/>
          <w:szCs w:val="22"/>
          <w:lang/>
        </w:rPr>
      </w:pPr>
      <w:r>
        <w:rPr>
          <w:rFonts w:ascii="Arial" w:hAnsi="Arial" w:cs="Arial"/>
          <w:sz w:val="22"/>
          <w:szCs w:val="22"/>
          <w:lang/>
        </w:rPr>
        <w:t>Pleistocênicos da América do Sul. Pos-graduação em Ciências Biológicas (Biodiversidade Neotropical). Pós-graduação em Biodiversidade Neotropical, Universidade Federal do Estado do Rio de Janeiro, Brazil. Master Thesis. 138p.</w:t>
      </w:r>
    </w:p>
    <w:p w14:paraId="7243B8E5">
      <w:pPr>
        <w:spacing w:line="480" w:lineRule="auto"/>
        <w:ind w:left="709" w:hanging="709"/>
        <w:rPr>
          <w:rFonts w:ascii="Arial" w:hAnsi="Arial" w:cs="Arial"/>
          <w:sz w:val="22"/>
          <w:szCs w:val="22"/>
          <w:lang/>
        </w:rPr>
      </w:pPr>
      <w:r>
        <w:rPr>
          <w:rFonts w:ascii="Arial" w:hAnsi="Arial" w:cs="Arial"/>
          <w:sz w:val="22"/>
          <w:szCs w:val="22"/>
          <w:lang/>
        </w:rPr>
        <w:t>Asevedo, L., D'Apolito, C., Misumi, S. Y., Barros, M. A., Barth, O. M., Avilla, L. S., 2020. Palynological analysis of dental calculus from Pleistocene proboscideans of southern Brazil: A new approach for paleodiet and paleoenvironmental reconstructions. </w:t>
      </w:r>
      <w:r>
        <w:rPr>
          <w:rFonts w:ascii="Arial" w:hAnsi="Arial" w:cs="Arial"/>
          <w:i/>
          <w:iCs/>
          <w:sz w:val="22"/>
          <w:szCs w:val="22"/>
          <w:lang/>
        </w:rPr>
        <w:t>Palaeogeography, Palaeoclimatology, Palaeoecology</w:t>
      </w:r>
      <w:r>
        <w:rPr>
          <w:rFonts w:ascii="Arial" w:hAnsi="Arial" w:cs="Arial"/>
          <w:sz w:val="22"/>
          <w:szCs w:val="22"/>
          <w:lang/>
        </w:rPr>
        <w:t>. 540, 109523.</w:t>
      </w:r>
    </w:p>
    <w:p w14:paraId="40AFE5F2">
      <w:pPr>
        <w:spacing w:line="480" w:lineRule="auto"/>
        <w:ind w:left="709" w:hanging="709"/>
        <w:rPr>
          <w:rFonts w:ascii="Arial" w:hAnsi="Arial" w:cs="Arial"/>
          <w:sz w:val="22"/>
          <w:szCs w:val="22"/>
          <w:lang w:val="en-US"/>
        </w:rPr>
      </w:pPr>
      <w:r>
        <w:rPr>
          <w:rFonts w:ascii="Arial" w:hAnsi="Arial" w:cs="Arial"/>
          <w:sz w:val="22"/>
          <w:szCs w:val="22"/>
          <w:lang w:val="it-IT"/>
        </w:rPr>
        <w:t xml:space="preserve">Asevedo, L., Pansani, T. R., Cordeiro, V. M., Silva-Caminha, S. A. F., Paixão, J. S., Cozzuol, M. A., Dantas, M. A. T., 2021. </w:t>
      </w:r>
      <w:r>
        <w:rPr>
          <w:rFonts w:ascii="Arial" w:hAnsi="Arial" w:cs="Arial"/>
          <w:sz w:val="22"/>
          <w:szCs w:val="22"/>
          <w:lang w:val="en-US"/>
        </w:rPr>
        <w:t>Diversity of Pleistocene megamammals from southern Amazon, Mato Grosso state, Brazil.</w:t>
      </w:r>
      <w:r>
        <w:t xml:space="preserve"> </w:t>
      </w:r>
      <w:r>
        <w:rPr>
          <w:rFonts w:ascii="Arial" w:hAnsi="Arial" w:cs="Arial"/>
          <w:i/>
          <w:iCs/>
          <w:sz w:val="22"/>
          <w:szCs w:val="22"/>
          <w:lang w:val="en-US"/>
        </w:rPr>
        <w:t>Journal of South American Earth Sciences</w:t>
      </w:r>
      <w:r>
        <w:rPr>
          <w:rFonts w:ascii="Arial" w:hAnsi="Arial" w:cs="Arial"/>
          <w:sz w:val="22"/>
          <w:szCs w:val="22"/>
          <w:lang w:val="en-US"/>
        </w:rPr>
        <w:t>. 112, 103552. https://doi.org/10.1016/j.jsames.2021.103552.</w:t>
      </w:r>
    </w:p>
    <w:p w14:paraId="10E7F065">
      <w:pPr>
        <w:spacing w:line="480" w:lineRule="auto"/>
        <w:ind w:left="709" w:hanging="709"/>
        <w:rPr>
          <w:rFonts w:ascii="Arial" w:hAnsi="Arial" w:eastAsia="Times New Roman" w:cs="Arial"/>
          <w:sz w:val="22"/>
          <w:szCs w:val="22"/>
          <w:shd w:val="clear" w:color="auto" w:fill="FFFFFF"/>
          <w:lang w:val="en-US"/>
        </w:rPr>
      </w:pPr>
      <w:r>
        <w:rPr>
          <w:rFonts w:ascii="Arial" w:hAnsi="Arial" w:eastAsia="Times New Roman" w:cs="Arial"/>
          <w:sz w:val="22"/>
          <w:szCs w:val="22"/>
          <w:shd w:val="clear" w:color="auto" w:fill="FFFFFF"/>
          <w:lang w:val="en-US"/>
        </w:rPr>
        <w:t>Baskaran, N., Desai, A. A. 2013., Frugivory and seed dispersal by the Asian Elephant Elephas maximus in the tropical forests of Nilgiri Biosphere Reserve, southern India. </w:t>
      </w:r>
      <w:r>
        <w:rPr>
          <w:rFonts w:ascii="Arial" w:hAnsi="Arial" w:eastAsia="Times New Roman" w:cs="Arial"/>
          <w:i/>
          <w:iCs/>
          <w:sz w:val="22"/>
          <w:szCs w:val="22"/>
          <w:shd w:val="clear" w:color="auto" w:fill="FFFFFF"/>
          <w:lang w:val="en-US"/>
        </w:rPr>
        <w:t>The Journal of Threatened Taxa</w:t>
      </w:r>
      <w:r>
        <w:rPr>
          <w:rFonts w:ascii="Arial" w:hAnsi="Arial" w:eastAsia="Times New Roman" w:cs="Arial"/>
          <w:sz w:val="22"/>
          <w:szCs w:val="22"/>
          <w:shd w:val="clear" w:color="auto" w:fill="FFFFFF"/>
          <w:lang w:val="en-US"/>
        </w:rPr>
        <w:t xml:space="preserve">. 5, 4893-4897. </w:t>
      </w:r>
      <w:r>
        <w:fldChar w:fldCharType="begin"/>
      </w:r>
      <w:r>
        <w:instrText xml:space="preserve"> HYPERLINK "https://doi.org/10.11609/JoTT.o2848.4893-7" </w:instrText>
      </w:r>
      <w:r>
        <w:fldChar w:fldCharType="separate"/>
      </w:r>
      <w:r>
        <w:rPr>
          <w:rStyle w:val="12"/>
          <w:rFonts w:ascii="Arial" w:hAnsi="Arial" w:eastAsia="Times New Roman" w:cs="Arial"/>
          <w:color w:val="auto"/>
          <w:sz w:val="22"/>
          <w:szCs w:val="22"/>
          <w:shd w:val="clear" w:color="auto" w:fill="FFFFFF"/>
          <w:lang w:val="en-US"/>
        </w:rPr>
        <w:t>https://doi.org/10.11609/JoTT.o2848.4893-7</w:t>
      </w:r>
      <w:r>
        <w:rPr>
          <w:rStyle w:val="12"/>
          <w:rFonts w:ascii="Arial" w:hAnsi="Arial" w:eastAsia="Times New Roman" w:cs="Arial"/>
          <w:color w:val="auto"/>
          <w:sz w:val="22"/>
          <w:szCs w:val="22"/>
          <w:shd w:val="clear" w:color="auto" w:fill="FFFFFF"/>
          <w:lang w:val="en-US"/>
        </w:rPr>
        <w:fldChar w:fldCharType="end"/>
      </w:r>
      <w:r>
        <w:rPr>
          <w:rFonts w:ascii="Arial" w:hAnsi="Arial" w:eastAsia="Times New Roman" w:cs="Arial"/>
          <w:sz w:val="22"/>
          <w:szCs w:val="22"/>
          <w:shd w:val="clear" w:color="auto" w:fill="FFFFFF"/>
          <w:lang w:val="en-US"/>
        </w:rPr>
        <w:t>.</w:t>
      </w:r>
    </w:p>
    <w:p w14:paraId="26813D1D">
      <w:pPr>
        <w:spacing w:line="480" w:lineRule="auto"/>
        <w:ind w:left="709" w:hanging="709"/>
        <w:rPr>
          <w:rFonts w:ascii="Arial" w:hAnsi="Arial" w:eastAsia="Times New Roman" w:cs="Arial"/>
          <w:sz w:val="22"/>
          <w:szCs w:val="22"/>
          <w:shd w:val="clear" w:color="auto" w:fill="FFFFFF"/>
          <w:lang/>
        </w:rPr>
      </w:pPr>
      <w:r>
        <w:rPr>
          <w:rFonts w:ascii="Arial" w:hAnsi="Arial" w:eastAsia="Times New Roman" w:cs="Arial"/>
          <w:sz w:val="22"/>
          <w:szCs w:val="22"/>
          <w:shd w:val="clear" w:color="auto" w:fill="FFFFFF"/>
          <w:lang/>
        </w:rPr>
        <w:t>Beerling, D. J., Mayle, F. E., 2006. Contrasting effects of climate and CO2 on Amazonian ecosystems since the last glacial maximum. </w:t>
      </w:r>
      <w:r>
        <w:rPr>
          <w:rFonts w:ascii="Arial" w:hAnsi="Arial" w:eastAsia="Times New Roman" w:cs="Arial"/>
          <w:i/>
          <w:iCs/>
          <w:sz w:val="22"/>
          <w:szCs w:val="22"/>
          <w:shd w:val="clear" w:color="auto" w:fill="FFFFFF"/>
          <w:lang/>
        </w:rPr>
        <w:t>Global Change Biology</w:t>
      </w:r>
      <w:r>
        <w:rPr>
          <w:rFonts w:ascii="Arial" w:hAnsi="Arial" w:eastAsia="Times New Roman" w:cs="Arial"/>
          <w:sz w:val="22"/>
          <w:szCs w:val="22"/>
          <w:shd w:val="clear" w:color="auto" w:fill="FFFFFF"/>
          <w:lang/>
        </w:rPr>
        <w:t>. 12(10), 1977-1984.</w:t>
      </w:r>
    </w:p>
    <w:p w14:paraId="55B5E008">
      <w:pPr>
        <w:spacing w:line="480" w:lineRule="auto"/>
        <w:ind w:left="709" w:hanging="709"/>
        <w:rPr>
          <w:rFonts w:ascii="Arial" w:hAnsi="Arial" w:eastAsia="Times New Roman" w:cs="Arial"/>
          <w:sz w:val="22"/>
          <w:szCs w:val="22"/>
          <w:lang w:val="en-US"/>
        </w:rPr>
      </w:pPr>
      <w:r>
        <w:rPr>
          <w:rFonts w:ascii="Arial" w:hAnsi="Arial" w:eastAsia="Times New Roman" w:cs="Arial"/>
          <w:sz w:val="22"/>
          <w:szCs w:val="22"/>
          <w:lang w:val="en-US"/>
        </w:rPr>
        <w:t xml:space="preserve">Benalcázar, E., 2025. </w:t>
      </w:r>
      <w:r>
        <w:rPr>
          <w:rFonts w:ascii="Arial" w:hAnsi="Arial" w:eastAsia="Times New Roman" w:cs="Arial"/>
          <w:sz w:val="22"/>
          <w:szCs w:val="22"/>
          <w:lang/>
        </w:rPr>
        <w:t xml:space="preserve">Biomecánica mandibular en Proboscídea: estudio comparativo con enfoque en </w:t>
      </w:r>
      <w:r>
        <w:rPr>
          <w:rFonts w:ascii="Arial" w:hAnsi="Arial" w:eastAsia="Times New Roman" w:cs="Arial"/>
          <w:i/>
          <w:iCs/>
          <w:sz w:val="22"/>
          <w:szCs w:val="22"/>
          <w:lang/>
        </w:rPr>
        <w:t>Notiomastodon platensis</w:t>
      </w:r>
      <w:r>
        <w:rPr>
          <w:rFonts w:ascii="Arial" w:hAnsi="Arial" w:eastAsia="Times New Roman" w:cs="Arial"/>
          <w:sz w:val="22"/>
          <w:szCs w:val="22"/>
          <w:lang/>
        </w:rPr>
        <w:t xml:space="preserve">. Tesis de magíster. Facultad de Ciencias de la Universidad Austral de Chile. </w:t>
      </w:r>
      <w:r>
        <w:rPr>
          <w:rFonts w:ascii="Arial" w:hAnsi="Arial" w:eastAsia="Times New Roman" w:cs="Arial"/>
          <w:sz w:val="22"/>
          <w:szCs w:val="22"/>
          <w:lang w:val="en-US"/>
        </w:rPr>
        <w:t xml:space="preserve">106 p. </w:t>
      </w:r>
    </w:p>
    <w:p w14:paraId="2C226976">
      <w:pPr>
        <w:spacing w:line="480" w:lineRule="auto"/>
        <w:ind w:left="709" w:hanging="709"/>
        <w:rPr>
          <w:rFonts w:ascii="Arial" w:hAnsi="Arial" w:eastAsia="Times New Roman" w:cs="Arial"/>
          <w:sz w:val="22"/>
          <w:szCs w:val="22"/>
          <w:lang w:val="en-US"/>
        </w:rPr>
      </w:pPr>
      <w:r>
        <w:rPr>
          <w:rFonts w:ascii="Arial" w:hAnsi="Arial" w:eastAsia="Times New Roman" w:cs="Arial"/>
          <w:sz w:val="22"/>
          <w:szCs w:val="22"/>
          <w:lang/>
        </w:rPr>
        <w:t>Boom, A., Mora, G., Cleef, A. M., Hooghiemstra, H., 2001. High altitude C</w:t>
      </w:r>
      <w:r>
        <w:rPr>
          <w:rFonts w:ascii="Arial" w:hAnsi="Arial" w:eastAsia="Times New Roman" w:cs="Arial"/>
          <w:sz w:val="22"/>
          <w:szCs w:val="22"/>
          <w:vertAlign w:val="subscript"/>
          <w:lang/>
        </w:rPr>
        <w:t>4</w:t>
      </w:r>
      <w:r>
        <w:rPr>
          <w:rFonts w:ascii="Arial" w:hAnsi="Arial" w:eastAsia="Times New Roman" w:cs="Arial"/>
          <w:sz w:val="22"/>
          <w:szCs w:val="22"/>
          <w:lang/>
        </w:rPr>
        <w:t xml:space="preserve"> grasslands in the northern Andes: relicts from glacial conditions? </w:t>
      </w:r>
      <w:r>
        <w:rPr>
          <w:rFonts w:ascii="Arial" w:hAnsi="Arial" w:eastAsia="Times New Roman" w:cs="Arial"/>
          <w:i/>
          <w:iCs/>
          <w:sz w:val="22"/>
          <w:szCs w:val="22"/>
          <w:lang/>
        </w:rPr>
        <w:t>Review of Palaeobotany and Palynology</w:t>
      </w:r>
      <w:r>
        <w:rPr>
          <w:rFonts w:ascii="Arial" w:hAnsi="Arial" w:eastAsia="Times New Roman" w:cs="Arial"/>
          <w:sz w:val="22"/>
          <w:szCs w:val="22"/>
          <w:lang/>
        </w:rPr>
        <w:t>, </w:t>
      </w:r>
      <w:r>
        <w:rPr>
          <w:rFonts w:ascii="Arial" w:hAnsi="Arial" w:eastAsia="Times New Roman" w:cs="Arial"/>
          <w:i/>
          <w:iCs/>
          <w:sz w:val="22"/>
          <w:szCs w:val="22"/>
          <w:lang/>
        </w:rPr>
        <w:t>115</w:t>
      </w:r>
      <w:r>
        <w:rPr>
          <w:rFonts w:ascii="Arial" w:hAnsi="Arial" w:eastAsia="Times New Roman" w:cs="Arial"/>
          <w:sz w:val="22"/>
          <w:szCs w:val="22"/>
          <w:lang/>
        </w:rPr>
        <w:t>(3-4), 147-160.</w:t>
      </w:r>
    </w:p>
    <w:p w14:paraId="15177198">
      <w:pPr>
        <w:pStyle w:val="7"/>
        <w:spacing w:line="480" w:lineRule="auto"/>
        <w:ind w:left="709" w:hanging="709"/>
        <w:rPr>
          <w:rFonts w:ascii="Arial" w:hAnsi="Arial" w:eastAsia="Times New Roman" w:cs="Arial"/>
          <w:sz w:val="22"/>
          <w:szCs w:val="22"/>
          <w:lang w:val="es-CL"/>
        </w:rPr>
      </w:pPr>
      <w:r>
        <w:rPr>
          <w:rFonts w:ascii="Arial" w:hAnsi="Arial" w:eastAsia="Times New Roman" w:cs="Arial"/>
          <w:sz w:val="22"/>
          <w:szCs w:val="22"/>
          <w:lang w:val="en-US"/>
        </w:rPr>
        <w:t xml:space="preserve">Campbell, K.E., 2010. Global climate dynamics and Plio-Pleistocene paleoenvironments of northwestern Peru and southwestern Ecuador. </w:t>
      </w:r>
      <w:r>
        <w:rPr>
          <w:rFonts w:ascii="Arial" w:hAnsi="Arial" w:eastAsia="Times New Roman" w:cs="Arial"/>
          <w:sz w:val="22"/>
          <w:szCs w:val="22"/>
          <w:lang w:val="es-CL"/>
        </w:rPr>
        <w:t xml:space="preserve">In: XV Congreso Peruano de Geología, Resúmenes Extendidos. Sociedad Geológica del Perú, Publicación Especial Nº 9, 424–427. </w:t>
      </w:r>
    </w:p>
    <w:p w14:paraId="6851C574">
      <w:pPr>
        <w:tabs>
          <w:tab w:val="left" w:pos="426"/>
        </w:tabs>
        <w:spacing w:line="480" w:lineRule="auto"/>
        <w:ind w:left="709" w:hanging="709"/>
        <w:rPr>
          <w:rFonts w:ascii="Arial" w:hAnsi="Arial" w:cs="Arial"/>
          <w:sz w:val="22"/>
          <w:szCs w:val="22"/>
          <w:lang w:val="en-US"/>
        </w:rPr>
      </w:pPr>
      <w:r>
        <w:rPr>
          <w:rFonts w:ascii="Arial" w:hAnsi="Arial" w:cs="Arial"/>
          <w:sz w:val="22"/>
          <w:szCs w:val="22"/>
          <w:lang w:val="en-US"/>
        </w:rPr>
        <w:t xml:space="preserve">Carnaval, A. C., Hickerson, M. J., Haddad, C. F. B., Rodrigues, M. T., Moritz, C., 2009. Stability predicts genetic diversity in the Brazilian Atlantic Forest hotspot. </w:t>
      </w:r>
      <w:r>
        <w:rPr>
          <w:rFonts w:ascii="Arial" w:hAnsi="Arial" w:cs="Arial"/>
          <w:i/>
          <w:iCs/>
          <w:sz w:val="22"/>
          <w:szCs w:val="22"/>
          <w:lang w:val="en-US"/>
        </w:rPr>
        <w:t>Science</w:t>
      </w:r>
      <w:r>
        <w:rPr>
          <w:rFonts w:ascii="Arial" w:hAnsi="Arial" w:cs="Arial"/>
          <w:sz w:val="22"/>
          <w:szCs w:val="22"/>
          <w:lang w:val="en-US"/>
        </w:rPr>
        <w:t xml:space="preserve"> 323, 785–789. </w:t>
      </w:r>
      <w:r>
        <w:rPr>
          <w:rFonts w:ascii="Arial" w:hAnsi="Arial" w:eastAsia="Times New Roman" w:cs="Arial"/>
          <w:sz w:val="22"/>
          <w:szCs w:val="22"/>
          <w:shd w:val="clear" w:color="auto" w:fill="FFFFFF"/>
          <w:lang w:val="en-US"/>
        </w:rPr>
        <w:t>https://doi.org/10.1126/science.1166955.</w:t>
      </w:r>
    </w:p>
    <w:p w14:paraId="3E5E7475">
      <w:pPr>
        <w:pStyle w:val="7"/>
        <w:spacing w:line="480" w:lineRule="auto"/>
        <w:ind w:left="709" w:hanging="709"/>
        <w:rPr>
          <w:rFonts w:ascii="Arial" w:hAnsi="Arial" w:cs="Arial"/>
          <w:sz w:val="22"/>
          <w:szCs w:val="22"/>
          <w:lang/>
        </w:rPr>
      </w:pPr>
      <w:r>
        <w:rPr>
          <w:rFonts w:ascii="Arial" w:hAnsi="Arial" w:cs="Arial"/>
          <w:sz w:val="22"/>
          <w:szCs w:val="22"/>
          <w:lang/>
        </w:rPr>
        <w:t>Cheng, H., Sinha, A., Cruz, F. W., Wang, X., Edwards, R. L., d’Horta, F. M., Ribas, C.C., Vuille, M., Stott, L.D., Auler, A. S., 2013. Climate change patterns in Amazonia and biodiversity. </w:t>
      </w:r>
      <w:r>
        <w:rPr>
          <w:rFonts w:ascii="Arial" w:hAnsi="Arial" w:cs="Arial"/>
          <w:i/>
          <w:iCs/>
          <w:sz w:val="22"/>
          <w:szCs w:val="22"/>
          <w:lang/>
        </w:rPr>
        <w:t>Nature communications</w:t>
      </w:r>
      <w:r>
        <w:rPr>
          <w:rFonts w:ascii="Arial" w:hAnsi="Arial" w:cs="Arial"/>
          <w:sz w:val="22"/>
          <w:szCs w:val="22"/>
          <w:lang/>
        </w:rPr>
        <w:t>, 4(1), 1-6.</w:t>
      </w:r>
    </w:p>
    <w:p w14:paraId="2553DF30">
      <w:pPr>
        <w:pStyle w:val="7"/>
        <w:spacing w:line="480" w:lineRule="auto"/>
        <w:ind w:left="709" w:hanging="709"/>
        <w:rPr>
          <w:rFonts w:ascii="Arial" w:hAnsi="Arial" w:cs="Arial"/>
          <w:sz w:val="22"/>
          <w:szCs w:val="22"/>
          <w:lang w:val="en-US"/>
        </w:rPr>
      </w:pPr>
    </w:p>
    <w:p w14:paraId="37FB5829">
      <w:pPr>
        <w:spacing w:line="480" w:lineRule="auto"/>
        <w:ind w:left="709" w:hanging="709"/>
        <w:rPr>
          <w:rFonts w:ascii="Arial" w:hAnsi="Arial" w:cs="Arial"/>
          <w:sz w:val="22"/>
          <w:szCs w:val="22"/>
          <w:lang w:val="en-US"/>
        </w:rPr>
      </w:pPr>
      <w:r>
        <w:rPr>
          <w:rFonts w:ascii="Arial" w:hAnsi="Arial" w:cs="Arial"/>
          <w:sz w:val="22"/>
          <w:szCs w:val="22"/>
          <w:lang w:val="en-US"/>
        </w:rPr>
        <w:t xml:space="preserve">Colinvaux, P. A., Bush, M. B., Steinitz-Kannan, M., Miller, M. C., 1997. Glacial and postglacial pollen records from the Ecuadorian Andes and Amazon. </w:t>
      </w:r>
      <w:r>
        <w:rPr>
          <w:rFonts w:ascii="Arial" w:hAnsi="Arial" w:cs="Arial"/>
          <w:i/>
          <w:iCs/>
          <w:sz w:val="22"/>
          <w:szCs w:val="22"/>
          <w:lang w:val="en-US"/>
        </w:rPr>
        <w:t>Quaternary. Research</w:t>
      </w:r>
      <w:r>
        <w:rPr>
          <w:rFonts w:ascii="Arial" w:hAnsi="Arial" w:cs="Arial"/>
          <w:sz w:val="22"/>
          <w:szCs w:val="22"/>
          <w:lang w:val="en-US"/>
        </w:rPr>
        <w:t>. 48, 69-78. https://doi.org/10.1006/qres.1997.1908.</w:t>
      </w:r>
    </w:p>
    <w:p w14:paraId="4071F217">
      <w:pPr>
        <w:spacing w:line="480" w:lineRule="auto"/>
        <w:ind w:left="709" w:hanging="709"/>
        <w:rPr>
          <w:rFonts w:ascii="Arial" w:hAnsi="Arial" w:eastAsia="Times New Roman" w:cs="Arial"/>
          <w:sz w:val="22"/>
          <w:szCs w:val="22"/>
          <w:shd w:val="clear" w:color="auto" w:fill="FFFFFF"/>
          <w:lang w:val="it-IT"/>
        </w:rPr>
      </w:pPr>
      <w:r>
        <w:rPr>
          <w:rFonts w:ascii="Arial" w:hAnsi="Arial" w:eastAsia="Times New Roman" w:cs="Arial"/>
          <w:sz w:val="22"/>
          <w:szCs w:val="22"/>
          <w:shd w:val="clear" w:color="auto" w:fill="FFFFFF"/>
          <w:lang w:val="en-US"/>
        </w:rPr>
        <w:t>Colinvaux, P. A., De Oliveira, P. E., 2001. Amazon plant diversity and climate through the Cenozoic. </w:t>
      </w:r>
      <w:r>
        <w:rPr>
          <w:rFonts w:ascii="Arial" w:hAnsi="Arial" w:eastAsia="Times New Roman" w:cs="Arial"/>
          <w:i/>
          <w:iCs/>
          <w:sz w:val="22"/>
          <w:szCs w:val="22"/>
          <w:shd w:val="clear" w:color="auto" w:fill="FFFFFF"/>
          <w:lang w:val="en-US"/>
        </w:rPr>
        <w:t>Palaeogeography, Palaeoclimatology, Palaeoecology</w:t>
      </w:r>
      <w:r>
        <w:rPr>
          <w:rFonts w:ascii="Arial" w:hAnsi="Arial" w:eastAsia="Times New Roman" w:cs="Arial"/>
          <w:sz w:val="22"/>
          <w:szCs w:val="22"/>
          <w:shd w:val="clear" w:color="auto" w:fill="FFFFFF"/>
          <w:lang w:val="it-IT"/>
        </w:rPr>
        <w:t xml:space="preserve">. 166, 51-63. </w:t>
      </w:r>
      <w:r>
        <w:fldChar w:fldCharType="begin"/>
      </w:r>
      <w:r>
        <w:instrText xml:space="preserve"> HYPERLINK "https://doi.org/10.1016/S0031-0182(00)00201-7" </w:instrText>
      </w:r>
      <w:r>
        <w:fldChar w:fldCharType="separate"/>
      </w:r>
      <w:r>
        <w:rPr>
          <w:rStyle w:val="12"/>
          <w:color w:val="auto"/>
          <w:lang w:val="it-IT"/>
        </w:rPr>
        <w:t>https://doi.org/10.1016/S0031-0182(00)00201-7</w:t>
      </w:r>
      <w:r>
        <w:rPr>
          <w:rStyle w:val="12"/>
          <w:color w:val="auto"/>
          <w:lang w:val="it-IT"/>
        </w:rPr>
        <w:fldChar w:fldCharType="end"/>
      </w:r>
      <w:r>
        <w:rPr>
          <w:rFonts w:ascii="Arial" w:hAnsi="Arial" w:eastAsia="Times New Roman" w:cs="Arial"/>
          <w:sz w:val="22"/>
          <w:szCs w:val="22"/>
          <w:shd w:val="clear" w:color="auto" w:fill="FFFFFF"/>
          <w:lang w:val="it-IT"/>
        </w:rPr>
        <w:t>.</w:t>
      </w:r>
    </w:p>
    <w:p w14:paraId="746790BD">
      <w:pPr>
        <w:spacing w:line="480" w:lineRule="auto"/>
        <w:ind w:left="709" w:hanging="709"/>
        <w:rPr>
          <w:rFonts w:ascii="Arial" w:hAnsi="Arial" w:eastAsia="Times New Roman" w:cs="Arial"/>
          <w:sz w:val="22"/>
          <w:szCs w:val="22"/>
          <w:shd w:val="clear" w:color="auto" w:fill="FFFFFF"/>
          <w:lang/>
        </w:rPr>
      </w:pPr>
      <w:r>
        <w:rPr>
          <w:rFonts w:ascii="Arial" w:hAnsi="Arial" w:eastAsia="Times New Roman" w:cs="Arial"/>
          <w:sz w:val="22"/>
          <w:szCs w:val="22"/>
          <w:shd w:val="clear" w:color="auto" w:fill="FFFFFF"/>
          <w:lang/>
        </w:rPr>
        <w:t xml:space="preserve">Coltorti, M., Ficcarelli, G., Jahren, H., Moreno Espinosa, M., Rook, L., &amp; Torre, D. (1998). The last occurrence of Pleistocene megafauna in the Ecuadorian Andes. </w:t>
      </w:r>
      <w:r>
        <w:rPr>
          <w:rFonts w:ascii="Arial" w:hAnsi="Arial" w:eastAsia="Times New Roman" w:cs="Arial"/>
          <w:i/>
          <w:iCs/>
          <w:sz w:val="22"/>
          <w:szCs w:val="22"/>
          <w:shd w:val="clear" w:color="auto" w:fill="FFFFFF"/>
          <w:lang/>
        </w:rPr>
        <w:t>Journal of South American Earth Sciences, 11</w:t>
      </w:r>
      <w:r>
        <w:rPr>
          <w:rFonts w:ascii="Arial" w:hAnsi="Arial" w:eastAsia="Times New Roman" w:cs="Arial"/>
          <w:sz w:val="22"/>
          <w:szCs w:val="22"/>
          <w:shd w:val="clear" w:color="auto" w:fill="FFFFFF"/>
          <w:lang/>
        </w:rPr>
        <w:t xml:space="preserve">(6), 581-586. </w:t>
      </w:r>
      <w:r>
        <w:fldChar w:fldCharType="begin"/>
      </w:r>
      <w:r>
        <w:instrText xml:space="preserve"> HYPERLINK "https://doi.org/10.1016/S0895-9811(98)00037-6" </w:instrText>
      </w:r>
      <w:r>
        <w:fldChar w:fldCharType="separate"/>
      </w:r>
      <w:r>
        <w:rPr>
          <w:rStyle w:val="12"/>
          <w:rFonts w:ascii="Arial" w:hAnsi="Arial" w:eastAsia="Times New Roman" w:cs="Arial"/>
          <w:color w:val="auto"/>
          <w:sz w:val="22"/>
          <w:szCs w:val="22"/>
          <w:shd w:val="clear" w:color="auto" w:fill="FFFFFF"/>
          <w:lang/>
        </w:rPr>
        <w:t>https://doi.org/10.1016/S0895-9811(98)00037-6</w:t>
      </w:r>
      <w:r>
        <w:rPr>
          <w:rStyle w:val="12"/>
          <w:rFonts w:ascii="Arial" w:hAnsi="Arial" w:eastAsia="Times New Roman" w:cs="Arial"/>
          <w:color w:val="auto"/>
          <w:sz w:val="22"/>
          <w:szCs w:val="22"/>
          <w:shd w:val="clear" w:color="auto" w:fill="FFFFFF"/>
          <w:lang/>
        </w:rPr>
        <w:fldChar w:fldCharType="end"/>
      </w:r>
    </w:p>
    <w:p w14:paraId="6E6123FC">
      <w:pPr>
        <w:tabs>
          <w:tab w:val="left" w:pos="426"/>
        </w:tabs>
        <w:spacing w:line="480" w:lineRule="auto"/>
        <w:ind w:left="709" w:hanging="709"/>
        <w:rPr>
          <w:rFonts w:ascii="Arial" w:hAnsi="Arial" w:eastAsia="Times New Roman" w:cs="Arial"/>
          <w:sz w:val="22"/>
          <w:szCs w:val="22"/>
          <w:shd w:val="clear" w:color="auto" w:fill="FFFFFF"/>
          <w:lang w:val="en-US"/>
        </w:rPr>
      </w:pPr>
      <w:r>
        <w:rPr>
          <w:rFonts w:ascii="Arial" w:hAnsi="Arial" w:eastAsia="Times New Roman" w:cs="Arial"/>
          <w:sz w:val="22"/>
          <w:szCs w:val="22"/>
          <w:shd w:val="clear" w:color="auto" w:fill="FFFFFF"/>
          <w:lang w:val="it-IT"/>
        </w:rPr>
        <w:t xml:space="preserve">De Mello Martins, F., 2011. </w:t>
      </w:r>
      <w:r>
        <w:rPr>
          <w:rFonts w:ascii="Arial" w:hAnsi="Arial" w:eastAsia="Times New Roman" w:cs="Arial"/>
          <w:sz w:val="22"/>
          <w:szCs w:val="22"/>
          <w:shd w:val="clear" w:color="auto" w:fill="FFFFFF"/>
          <w:lang w:val="en-US"/>
        </w:rPr>
        <w:t>Historical biogeography of the Brazilian Atlantic forest and the Carnaval–Moritz model of Pleistocene refugia: what do phylogeographical studies tell us? </w:t>
      </w:r>
      <w:r>
        <w:rPr>
          <w:rFonts w:ascii="Arial" w:hAnsi="Arial" w:eastAsia="Times New Roman" w:cs="Arial"/>
          <w:i/>
          <w:iCs/>
          <w:sz w:val="22"/>
          <w:szCs w:val="22"/>
          <w:shd w:val="clear" w:color="auto" w:fill="FFFFFF"/>
          <w:lang w:val="en-US"/>
        </w:rPr>
        <w:t>Biological Journal of the Linnean Society</w:t>
      </w:r>
      <w:r>
        <w:rPr>
          <w:rFonts w:ascii="Arial" w:hAnsi="Arial" w:eastAsia="Times New Roman" w:cs="Arial"/>
          <w:sz w:val="22"/>
          <w:szCs w:val="22"/>
          <w:shd w:val="clear" w:color="auto" w:fill="FFFFFF"/>
          <w:lang w:val="en-US"/>
        </w:rPr>
        <w:t xml:space="preserve">.104, 499-509. </w:t>
      </w:r>
      <w:r>
        <w:fldChar w:fldCharType="begin"/>
      </w:r>
      <w:r>
        <w:instrText xml:space="preserve"> HYPERLINK "https://doi.org/10.1111/j.1095-8312.2011.01745.x" </w:instrText>
      </w:r>
      <w:r>
        <w:fldChar w:fldCharType="separate"/>
      </w:r>
      <w:r>
        <w:rPr>
          <w:rStyle w:val="12"/>
          <w:rFonts w:ascii="Arial" w:hAnsi="Arial" w:eastAsia="Times New Roman" w:cs="Arial"/>
          <w:color w:val="auto"/>
          <w:sz w:val="22"/>
          <w:szCs w:val="22"/>
          <w:shd w:val="clear" w:color="auto" w:fill="FFFFFF"/>
          <w:lang w:val="en-US"/>
        </w:rPr>
        <w:t>https://doi.org/10.1111/j.1095-8312.2011.01745.x</w:t>
      </w:r>
      <w:r>
        <w:rPr>
          <w:rStyle w:val="12"/>
          <w:rFonts w:ascii="Arial" w:hAnsi="Arial" w:eastAsia="Times New Roman" w:cs="Arial"/>
          <w:color w:val="auto"/>
          <w:sz w:val="22"/>
          <w:szCs w:val="22"/>
          <w:shd w:val="clear" w:color="auto" w:fill="FFFFFF"/>
          <w:lang w:val="en-US"/>
        </w:rPr>
        <w:fldChar w:fldCharType="end"/>
      </w:r>
      <w:r>
        <w:rPr>
          <w:rFonts w:ascii="Arial" w:hAnsi="Arial" w:eastAsia="Times New Roman" w:cs="Arial"/>
          <w:sz w:val="22"/>
          <w:szCs w:val="22"/>
          <w:shd w:val="clear" w:color="auto" w:fill="FFFFFF"/>
          <w:lang w:val="en-US"/>
        </w:rPr>
        <w:t>.</w:t>
      </w:r>
    </w:p>
    <w:p w14:paraId="23606668">
      <w:pPr>
        <w:tabs>
          <w:tab w:val="left" w:pos="426"/>
        </w:tabs>
        <w:spacing w:line="480" w:lineRule="auto"/>
        <w:ind w:left="709" w:hanging="709"/>
        <w:rPr>
          <w:rFonts w:ascii="Arial" w:hAnsi="Arial" w:eastAsia="Times New Roman" w:cs="Arial"/>
          <w:sz w:val="22"/>
          <w:szCs w:val="22"/>
          <w:lang/>
        </w:rPr>
      </w:pPr>
      <w:r>
        <w:rPr>
          <w:rFonts w:ascii="Arial" w:hAnsi="Arial" w:eastAsia="Times New Roman" w:cs="Arial"/>
          <w:sz w:val="22"/>
          <w:szCs w:val="22"/>
          <w:lang/>
        </w:rPr>
        <w:t>Dantas, M. A. T., Cherkinsky, A., Lessa, C. M. B., Santos, L.V., Cozzuol, M.A., Omena, E.C., Silva, J.L.L., Sial, A.N., Bocherens, H., 2020. Isotopic Paleoecology (δ</w:t>
      </w:r>
      <w:r>
        <w:rPr>
          <w:rFonts w:ascii="Arial" w:hAnsi="Arial" w:eastAsia="Times New Roman" w:cs="Arial"/>
          <w:sz w:val="22"/>
          <w:szCs w:val="22"/>
          <w:vertAlign w:val="superscript"/>
          <w:lang/>
        </w:rPr>
        <w:t>13</w:t>
      </w:r>
      <w:r>
        <w:rPr>
          <w:rFonts w:ascii="Arial" w:hAnsi="Arial" w:eastAsia="Times New Roman" w:cs="Arial"/>
          <w:sz w:val="22"/>
          <w:szCs w:val="22"/>
          <w:lang/>
        </w:rPr>
        <w:t>C, δ</w:t>
      </w:r>
      <w:r>
        <w:rPr>
          <w:rFonts w:ascii="Arial" w:hAnsi="Arial" w:eastAsia="Times New Roman" w:cs="Arial"/>
          <w:sz w:val="22"/>
          <w:szCs w:val="22"/>
          <w:vertAlign w:val="superscript"/>
          <w:lang/>
        </w:rPr>
        <w:t>18</w:t>
      </w:r>
      <w:r>
        <w:rPr>
          <w:rFonts w:ascii="Arial" w:hAnsi="Arial" w:eastAsia="Times New Roman" w:cs="Arial"/>
          <w:sz w:val="22"/>
          <w:szCs w:val="22"/>
          <w:lang/>
        </w:rPr>
        <w:t xml:space="preserve">O) of Late Quarternary megafauna from Brazilian Intertropical Region. </w:t>
      </w:r>
      <w:r>
        <w:rPr>
          <w:rFonts w:ascii="Arial" w:hAnsi="Arial" w:eastAsia="Times New Roman" w:cs="Arial"/>
          <w:i/>
          <w:iCs/>
          <w:sz w:val="22"/>
          <w:szCs w:val="22"/>
          <w:lang/>
        </w:rPr>
        <w:t>Revista Brasileira de Paleontologia</w:t>
      </w:r>
      <w:r>
        <w:rPr>
          <w:rFonts w:ascii="Arial" w:hAnsi="Arial" w:eastAsia="Times New Roman" w:cs="Arial"/>
          <w:sz w:val="22"/>
          <w:szCs w:val="22"/>
          <w:lang/>
        </w:rPr>
        <w:t>, v. 23, n 2.</w:t>
      </w:r>
    </w:p>
    <w:p w14:paraId="44AD8E89">
      <w:pPr>
        <w:tabs>
          <w:tab w:val="left" w:pos="426"/>
        </w:tabs>
        <w:spacing w:line="480" w:lineRule="auto"/>
        <w:ind w:left="709" w:hanging="709"/>
        <w:rPr>
          <w:rFonts w:ascii="Arial" w:hAnsi="Arial" w:eastAsia="Times New Roman" w:cs="Arial"/>
          <w:sz w:val="22"/>
          <w:szCs w:val="22"/>
          <w:lang/>
        </w:rPr>
      </w:pPr>
      <w:r>
        <w:rPr>
          <w:rFonts w:ascii="Arial" w:hAnsi="Arial" w:eastAsia="Times New Roman" w:cs="Arial"/>
          <w:sz w:val="22"/>
          <w:szCs w:val="22"/>
          <w:lang/>
        </w:rPr>
        <w:t>Dantas, M. A. T., Cherkinsky, A. 2023. Interrelation of radiocarbon ages from bone fractions in the Brazilian Intertropical Region</w:t>
      </w:r>
      <w:r>
        <w:rPr>
          <w:rFonts w:ascii="Arial" w:hAnsi="Arial" w:eastAsia="Times New Roman" w:cs="Arial"/>
          <w:i/>
          <w:iCs/>
          <w:sz w:val="22"/>
          <w:szCs w:val="22"/>
          <w:lang/>
        </w:rPr>
        <w:t>.</w:t>
      </w:r>
      <w:r>
        <w:rPr>
          <w:rFonts w:ascii="Arial" w:hAnsi="Arial" w:eastAsia="Times New Roman" w:cs="Arial"/>
          <w:sz w:val="22"/>
          <w:szCs w:val="22"/>
          <w:lang/>
        </w:rPr>
        <w:t xml:space="preserve"> </w:t>
      </w:r>
      <w:r>
        <w:rPr>
          <w:rFonts w:ascii="Arial" w:hAnsi="Arial" w:eastAsia="Times New Roman" w:cs="Arial"/>
          <w:i/>
          <w:iCs/>
          <w:sz w:val="22"/>
          <w:szCs w:val="22"/>
          <w:lang/>
        </w:rPr>
        <w:t>Quaternary Research</w:t>
      </w:r>
      <w:r>
        <w:rPr>
          <w:rFonts w:ascii="Arial" w:hAnsi="Arial" w:eastAsia="Times New Roman" w:cs="Arial"/>
          <w:sz w:val="22"/>
          <w:szCs w:val="22"/>
          <w:lang/>
        </w:rPr>
        <w:t xml:space="preserve">., 115, 202-206. </w:t>
      </w:r>
      <w:r>
        <w:fldChar w:fldCharType="begin"/>
      </w:r>
      <w:r>
        <w:instrText xml:space="preserve"> HYPERLINK "https://doi.org/10.1017/qua.2023.19" </w:instrText>
      </w:r>
      <w:r>
        <w:fldChar w:fldCharType="separate"/>
      </w:r>
      <w:r>
        <w:rPr>
          <w:rStyle w:val="12"/>
          <w:rFonts w:ascii="Arial" w:hAnsi="Arial" w:eastAsia="Times New Roman" w:cs="Arial"/>
          <w:color w:val="auto"/>
          <w:sz w:val="22"/>
          <w:szCs w:val="22"/>
          <w:lang/>
        </w:rPr>
        <w:t>https://doi.org/10.1017/qua.2023.19</w:t>
      </w:r>
      <w:r>
        <w:rPr>
          <w:rStyle w:val="12"/>
          <w:rFonts w:ascii="Arial" w:hAnsi="Arial" w:eastAsia="Times New Roman" w:cs="Arial"/>
          <w:color w:val="auto"/>
          <w:sz w:val="22"/>
          <w:szCs w:val="22"/>
          <w:lang/>
        </w:rPr>
        <w:fldChar w:fldCharType="end"/>
      </w:r>
    </w:p>
    <w:p w14:paraId="1FAE6D44">
      <w:pPr>
        <w:tabs>
          <w:tab w:val="left" w:pos="426"/>
        </w:tabs>
        <w:spacing w:line="480" w:lineRule="auto"/>
        <w:ind w:left="709" w:hanging="709"/>
        <w:rPr>
          <w:rFonts w:ascii="Arial" w:hAnsi="Arial" w:cs="Arial"/>
          <w:sz w:val="22"/>
          <w:szCs w:val="22"/>
          <w:lang w:val="it-IT"/>
        </w:rPr>
      </w:pPr>
      <w:r>
        <w:rPr>
          <w:rFonts w:ascii="Arial" w:hAnsi="Arial" w:cs="Arial"/>
          <w:sz w:val="22"/>
          <w:szCs w:val="22"/>
          <w:lang w:val="en-US"/>
        </w:rPr>
        <w:t xml:space="preserve">Domingo, L., Prado, J.L., Alberdi, M.T., 2012. The effect of paleoecology and paleobiogeography on stable isotopes of Quaternary mammals from South America. </w:t>
      </w:r>
      <w:r>
        <w:rPr>
          <w:rFonts w:ascii="Arial" w:hAnsi="Arial" w:cs="Arial"/>
          <w:i/>
          <w:iCs/>
          <w:sz w:val="22"/>
          <w:szCs w:val="22"/>
          <w:lang w:val="it-IT"/>
        </w:rPr>
        <w:t>Quaternary Science Reviews</w:t>
      </w:r>
      <w:r>
        <w:rPr>
          <w:rFonts w:ascii="Arial" w:hAnsi="Arial" w:cs="Arial"/>
          <w:sz w:val="22"/>
          <w:szCs w:val="22"/>
          <w:lang w:val="it-IT"/>
        </w:rPr>
        <w:t xml:space="preserve">. 55, 103–113. </w:t>
      </w:r>
      <w:r>
        <w:fldChar w:fldCharType="begin"/>
      </w:r>
      <w:r>
        <w:instrText xml:space="preserve"> HYPERLINK "https://doi.org/10.1016/j.quascirev.2012.08.017" \t "_blank" \o "Persistent link using digital object identifier" </w:instrText>
      </w:r>
      <w:r>
        <w:fldChar w:fldCharType="separate"/>
      </w:r>
      <w:r>
        <w:rPr>
          <w:rStyle w:val="12"/>
          <w:rFonts w:ascii="Arial" w:hAnsi="Arial" w:cs="Arial"/>
          <w:color w:val="auto"/>
          <w:sz w:val="22"/>
          <w:szCs w:val="22"/>
          <w:lang w:val="it-IT"/>
        </w:rPr>
        <w:t>https://doi.org/10.1016/j.quascirev.2012.08.017</w:t>
      </w:r>
      <w:r>
        <w:rPr>
          <w:rStyle w:val="12"/>
          <w:rFonts w:ascii="Arial" w:hAnsi="Arial" w:cs="Arial"/>
          <w:color w:val="auto"/>
          <w:sz w:val="22"/>
          <w:szCs w:val="22"/>
          <w:lang w:val="it-IT"/>
        </w:rPr>
        <w:fldChar w:fldCharType="end"/>
      </w:r>
      <w:r>
        <w:rPr>
          <w:rFonts w:ascii="Arial" w:hAnsi="Arial" w:cs="Arial"/>
          <w:sz w:val="22"/>
          <w:szCs w:val="22"/>
          <w:lang w:val="it-IT"/>
        </w:rPr>
        <w:t>.</w:t>
      </w:r>
    </w:p>
    <w:p w14:paraId="01A280C8">
      <w:pPr>
        <w:tabs>
          <w:tab w:val="left" w:pos="426"/>
        </w:tabs>
        <w:spacing w:line="480" w:lineRule="auto"/>
        <w:ind w:left="709" w:hanging="709"/>
        <w:rPr>
          <w:rFonts w:ascii="Arial" w:hAnsi="Arial" w:cs="Arial"/>
          <w:sz w:val="22"/>
          <w:szCs w:val="22"/>
          <w:lang w:val="en-US"/>
        </w:rPr>
      </w:pPr>
      <w:r>
        <w:rPr>
          <w:rFonts w:ascii="Arial" w:hAnsi="Arial" w:cs="Arial"/>
          <w:sz w:val="22"/>
          <w:szCs w:val="22"/>
          <w:lang w:val="it-IT"/>
        </w:rPr>
        <w:t xml:space="preserve">Domingo, L., Tomassini, R.L., Montalvo, C.I., Sanz-Pérez, D., Alberdi, M.T., 2020. </w:t>
      </w:r>
      <w:r>
        <w:rPr>
          <w:rFonts w:ascii="Arial" w:hAnsi="Arial" w:cs="Arial"/>
          <w:sz w:val="22"/>
          <w:szCs w:val="22"/>
          <w:lang w:val="en-US"/>
        </w:rPr>
        <w:t xml:space="preserve">The Great American Biotic Interchange revisited: a new perspective from the stable isotope record of Argentine Pampas fossil mammals. </w:t>
      </w:r>
      <w:r>
        <w:rPr>
          <w:rFonts w:ascii="Arial" w:hAnsi="Arial" w:cs="Arial"/>
          <w:i/>
          <w:iCs/>
          <w:sz w:val="22"/>
          <w:szCs w:val="22"/>
          <w:lang w:val="en-US"/>
        </w:rPr>
        <w:t>Scientific. Reports</w:t>
      </w:r>
      <w:r>
        <w:rPr>
          <w:rFonts w:ascii="Arial" w:hAnsi="Arial" w:cs="Arial"/>
          <w:sz w:val="22"/>
          <w:szCs w:val="22"/>
          <w:lang w:val="en-US"/>
        </w:rPr>
        <w:t>. 10, 1680. https://doi. org/10.1038/s41598-020-58575-6.</w:t>
      </w:r>
    </w:p>
    <w:p w14:paraId="435EB2B2">
      <w:pPr>
        <w:tabs>
          <w:tab w:val="left" w:pos="426"/>
        </w:tabs>
        <w:spacing w:line="480" w:lineRule="auto"/>
        <w:ind w:left="709" w:hanging="709"/>
        <w:rPr>
          <w:rFonts w:ascii="Arial" w:hAnsi="Arial" w:cs="Arial"/>
          <w:sz w:val="22"/>
          <w:szCs w:val="22"/>
          <w:lang w:val="it-IT"/>
        </w:rPr>
      </w:pPr>
      <w:r>
        <w:rPr>
          <w:rFonts w:ascii="Arial" w:hAnsi="Arial" w:cs="Arial"/>
          <w:sz w:val="22"/>
          <w:szCs w:val="22"/>
          <w:lang w:val="fr-FR"/>
        </w:rPr>
        <w:t xml:space="preserve">Escobar, S., Helmstetter, A. J., Jarvie, S., Montúfar, R., Balslev, H., Couvreur, T. L., 2021. </w:t>
      </w:r>
      <w:r>
        <w:rPr>
          <w:rFonts w:ascii="Arial" w:hAnsi="Arial" w:cs="Arial"/>
          <w:sz w:val="22"/>
          <w:szCs w:val="22"/>
          <w:lang w:val="en-US"/>
        </w:rPr>
        <w:t xml:space="preserve">Pleistocene climatic fluctuations promoted alternative evolutionary histories in Phytelephas aequatorialis, an endemic palm from western Ecuador. </w:t>
      </w:r>
      <w:r>
        <w:rPr>
          <w:rFonts w:ascii="Arial" w:hAnsi="Arial" w:cs="Arial"/>
          <w:i/>
          <w:iCs/>
          <w:sz w:val="22"/>
          <w:szCs w:val="22"/>
          <w:lang w:val="it-IT"/>
        </w:rPr>
        <w:t>Journal of Biogeography</w:t>
      </w:r>
      <w:r>
        <w:rPr>
          <w:rFonts w:ascii="Arial" w:hAnsi="Arial" w:cs="Arial"/>
          <w:sz w:val="22"/>
          <w:szCs w:val="22"/>
          <w:lang w:val="it-IT"/>
        </w:rPr>
        <w:t>. 48, 1023-1037. https://doi.org/10.1111/jbi.14055.</w:t>
      </w:r>
    </w:p>
    <w:p w14:paraId="74D4EF98">
      <w:pPr>
        <w:tabs>
          <w:tab w:val="left" w:pos="426"/>
        </w:tabs>
        <w:spacing w:line="480" w:lineRule="auto"/>
        <w:ind w:left="709" w:hanging="709"/>
        <w:rPr>
          <w:rFonts w:ascii="Arial" w:hAnsi="Arial" w:eastAsia="Times New Roman" w:cs="Arial"/>
          <w:sz w:val="22"/>
          <w:szCs w:val="22"/>
          <w:shd w:val="clear" w:color="auto" w:fill="FFFFFF"/>
          <w:lang/>
        </w:rPr>
      </w:pPr>
      <w:r>
        <w:rPr>
          <w:rFonts w:ascii="Arial" w:hAnsi="Arial" w:eastAsia="Times New Roman" w:cs="Arial"/>
          <w:sz w:val="22"/>
          <w:szCs w:val="22"/>
          <w:shd w:val="clear" w:color="auto" w:fill="FFFFFF"/>
          <w:lang/>
        </w:rPr>
        <w:t>Fontes, D., Cordeiro, R. C., Martins, G. S., Behling, H., Turcq, B., Sifeddine, A., Seoane, J.C.S., Moreira, L.S., Rodrigues, R. A., 2017. Paleoenvironmental dynamics in South Amazonia, Brazil, during the last 35,000 years inferred from pollen and geochemical records of Lago do Saci. </w:t>
      </w:r>
      <w:r>
        <w:rPr>
          <w:rFonts w:ascii="Arial" w:hAnsi="Arial" w:eastAsia="Times New Roman" w:cs="Arial"/>
          <w:i/>
          <w:iCs/>
          <w:sz w:val="22"/>
          <w:szCs w:val="22"/>
          <w:shd w:val="clear" w:color="auto" w:fill="FFFFFF"/>
          <w:lang/>
        </w:rPr>
        <w:t>Quaternary Science Reviews</w:t>
      </w:r>
      <w:r>
        <w:rPr>
          <w:rFonts w:ascii="Arial" w:hAnsi="Arial" w:eastAsia="Times New Roman" w:cs="Arial"/>
          <w:sz w:val="22"/>
          <w:szCs w:val="22"/>
          <w:shd w:val="clear" w:color="auto" w:fill="FFFFFF"/>
          <w:lang/>
        </w:rPr>
        <w:t>. 173, 161-180.</w:t>
      </w:r>
    </w:p>
    <w:p w14:paraId="733D755E">
      <w:pPr>
        <w:tabs>
          <w:tab w:val="left" w:pos="426"/>
        </w:tabs>
        <w:spacing w:line="480" w:lineRule="auto"/>
        <w:ind w:left="709" w:hanging="709"/>
        <w:rPr>
          <w:rFonts w:ascii="Arial" w:hAnsi="Arial" w:eastAsia="Times New Roman" w:cs="Arial"/>
          <w:sz w:val="22"/>
          <w:szCs w:val="22"/>
          <w:lang/>
        </w:rPr>
      </w:pPr>
      <w:r>
        <w:rPr>
          <w:rFonts w:ascii="Arial" w:hAnsi="Arial" w:eastAsia="Times New Roman" w:cs="Arial"/>
          <w:sz w:val="22"/>
          <w:szCs w:val="22"/>
          <w:lang w:val="en-US"/>
        </w:rPr>
        <w:t xml:space="preserve">Frederick, L., Brunelle, A., Morrison, M., Crespo, P., Johnson, W., 2018. Reconstruction of the mid-Holocene paleoclimate of the Ecuadorian Andean páramo at Tres Lagunas, Ecuador. </w:t>
      </w:r>
      <w:r>
        <w:rPr>
          <w:rFonts w:ascii="Arial" w:hAnsi="Arial" w:eastAsia="Times New Roman" w:cs="Arial"/>
          <w:i/>
          <w:iCs/>
          <w:sz w:val="22"/>
          <w:szCs w:val="22"/>
          <w:lang/>
        </w:rPr>
        <w:t>The Holocene</w:t>
      </w:r>
      <w:r>
        <w:rPr>
          <w:rFonts w:ascii="Arial" w:hAnsi="Arial" w:eastAsia="Times New Roman" w:cs="Arial"/>
          <w:sz w:val="22"/>
          <w:szCs w:val="22"/>
          <w:lang/>
        </w:rPr>
        <w:t xml:space="preserve">, 28, 1131-1140. </w:t>
      </w:r>
      <w:r>
        <w:fldChar w:fldCharType="begin"/>
      </w:r>
      <w:r>
        <w:instrText xml:space="preserve"> HYPERLINK "https://doi.org/10.1177/0959683618761547" </w:instrText>
      </w:r>
      <w:r>
        <w:fldChar w:fldCharType="separate"/>
      </w:r>
      <w:r>
        <w:rPr>
          <w:rStyle w:val="12"/>
          <w:rFonts w:ascii="Arial" w:hAnsi="Arial" w:eastAsia="Times New Roman" w:cs="Arial"/>
          <w:color w:val="auto"/>
          <w:sz w:val="22"/>
          <w:szCs w:val="22"/>
          <w:lang/>
        </w:rPr>
        <w:t>https://doi.org/10.1177/0959683618761547</w:t>
      </w:r>
      <w:r>
        <w:rPr>
          <w:rStyle w:val="12"/>
          <w:rFonts w:ascii="Arial" w:hAnsi="Arial" w:eastAsia="Times New Roman" w:cs="Arial"/>
          <w:color w:val="auto"/>
          <w:sz w:val="22"/>
          <w:szCs w:val="22"/>
          <w:lang/>
        </w:rPr>
        <w:fldChar w:fldCharType="end"/>
      </w:r>
      <w:r>
        <w:rPr>
          <w:rFonts w:ascii="Arial" w:hAnsi="Arial" w:eastAsia="Times New Roman" w:cs="Arial"/>
          <w:sz w:val="22"/>
          <w:szCs w:val="22"/>
          <w:lang/>
        </w:rPr>
        <w:t>.</w:t>
      </w:r>
    </w:p>
    <w:p w14:paraId="7C672113">
      <w:pPr>
        <w:tabs>
          <w:tab w:val="left" w:pos="426"/>
        </w:tabs>
        <w:spacing w:line="480" w:lineRule="auto"/>
        <w:ind w:left="709" w:hanging="709"/>
        <w:rPr>
          <w:rFonts w:ascii="Arial" w:hAnsi="Arial" w:eastAsia="Times New Roman" w:cs="Arial"/>
          <w:sz w:val="22"/>
          <w:szCs w:val="22"/>
          <w:lang/>
        </w:rPr>
      </w:pPr>
      <w:r>
        <w:rPr>
          <w:rFonts w:ascii="Arial" w:hAnsi="Arial" w:eastAsia="Times New Roman" w:cs="Arial"/>
          <w:sz w:val="22"/>
          <w:szCs w:val="22"/>
          <w:shd w:val="clear" w:color="auto" w:fill="FFFFFF"/>
          <w:lang w:val="it-IT"/>
        </w:rPr>
        <w:t xml:space="preserve">Gébelin, A., Witt, C., Radkiewicz, M., Mulch, A., 2021. </w:t>
      </w:r>
      <w:r>
        <w:rPr>
          <w:rFonts w:ascii="Arial" w:hAnsi="Arial" w:eastAsia="Times New Roman" w:cs="Arial"/>
          <w:sz w:val="22"/>
          <w:szCs w:val="22"/>
          <w:shd w:val="clear" w:color="auto" w:fill="FFFFFF"/>
          <w:lang w:val="en-US"/>
        </w:rPr>
        <w:t>Impact of the Southern Ecuadorian Andes on oxygen and hydrogen isotopes in precipitation. </w:t>
      </w:r>
      <w:r>
        <w:rPr>
          <w:rFonts w:ascii="Arial" w:hAnsi="Arial" w:eastAsia="Times New Roman" w:cs="Arial"/>
          <w:i/>
          <w:iCs/>
          <w:sz w:val="22"/>
          <w:szCs w:val="22"/>
          <w:shd w:val="clear" w:color="auto" w:fill="FFFFFF"/>
          <w:lang w:val="en-US"/>
        </w:rPr>
        <w:t>Frontiers in Earth Science</w:t>
      </w:r>
      <w:r>
        <w:rPr>
          <w:rFonts w:ascii="Arial" w:hAnsi="Arial" w:eastAsia="Times New Roman" w:cs="Arial"/>
          <w:sz w:val="22"/>
          <w:szCs w:val="22"/>
          <w:shd w:val="clear" w:color="auto" w:fill="FFFFFF"/>
          <w:lang/>
        </w:rPr>
        <w:t>. 9, 664590. https://doi.org/10.3389/feart.2021.664590.</w:t>
      </w:r>
    </w:p>
    <w:p w14:paraId="1B6CC65F">
      <w:pPr>
        <w:tabs>
          <w:tab w:val="left" w:pos="426"/>
        </w:tabs>
        <w:spacing w:line="480" w:lineRule="auto"/>
        <w:ind w:left="709" w:hanging="709"/>
        <w:rPr>
          <w:rFonts w:ascii="Arial" w:hAnsi="Arial" w:cs="Arial"/>
          <w:sz w:val="22"/>
          <w:szCs w:val="22"/>
        </w:rPr>
      </w:pPr>
      <w:r>
        <w:rPr>
          <w:rFonts w:ascii="Arial" w:hAnsi="Arial" w:cs="Arial"/>
          <w:sz w:val="22"/>
          <w:szCs w:val="22"/>
        </w:rPr>
        <w:t xml:space="preserve">González-Guarda, E., Petermann-Pichincura, A., Tornero, C., Domingo, L., Agustí, J., Pino, M., Abarzúa, A. M., Capriles, J. M., Villavicencio, N. A., Labarca, R., Tolorza, V., Sevilla, P., Rivals, F. 2018. </w:t>
      </w:r>
      <w:r>
        <w:rPr>
          <w:rFonts w:ascii="Arial" w:hAnsi="Arial" w:cs="Arial"/>
          <w:sz w:val="22"/>
          <w:szCs w:val="22"/>
          <w:lang w:val="en-US"/>
        </w:rPr>
        <w:t>Multiproxy evidence for leaf-browsing and closed habitats in extinct proboscideans (Mammalia, Proboscidea) from Central Chile.</w:t>
      </w:r>
      <w:r>
        <w:t xml:space="preserve"> </w:t>
      </w:r>
      <w:r>
        <w:rPr>
          <w:rFonts w:ascii="Arial" w:hAnsi="Arial" w:cs="Arial"/>
          <w:i/>
          <w:iCs/>
          <w:sz w:val="22"/>
          <w:szCs w:val="22"/>
          <w:lang w:val="en-US"/>
        </w:rPr>
        <w:t>Proceedings of the National Academy of Sciences of the United States of America</w:t>
      </w:r>
      <w:r>
        <w:rPr>
          <w:rFonts w:ascii="Arial" w:hAnsi="Arial" w:cs="Arial"/>
          <w:sz w:val="22"/>
          <w:szCs w:val="22"/>
        </w:rPr>
        <w:t>. 115, 9258-9263. https://doi.org/10.1073/pnas.1804642115.</w:t>
      </w:r>
    </w:p>
    <w:p w14:paraId="3702F6B7">
      <w:pPr>
        <w:tabs>
          <w:tab w:val="left" w:pos="426"/>
        </w:tabs>
        <w:spacing w:line="480" w:lineRule="auto"/>
        <w:ind w:left="709" w:hanging="709"/>
        <w:rPr>
          <w:rFonts w:ascii="Arial" w:hAnsi="Arial" w:cs="Arial"/>
          <w:sz w:val="22"/>
          <w:szCs w:val="22"/>
        </w:rPr>
      </w:pPr>
      <w:r>
        <w:rPr>
          <w:rFonts w:ascii="Arial" w:hAnsi="Arial" w:cs="Arial"/>
          <w:sz w:val="22"/>
          <w:szCs w:val="22"/>
        </w:rPr>
        <w:t xml:space="preserve">González-Guarda, E., Segovia, R. A., Valenzuela, M., Asevedo, L., Villavicencio, N., Tornero, C., Ramírez-Pedraza, I., Ortega, S., Capriles, J., Labarca, R., Latorre, C., 2024. </w:t>
      </w:r>
      <w:r>
        <w:rPr>
          <w:rFonts w:ascii="Arial" w:hAnsi="Arial" w:cs="Arial"/>
          <w:sz w:val="22"/>
          <w:szCs w:val="22"/>
          <w:lang w:val="en-US"/>
        </w:rPr>
        <w:t xml:space="preserve">The extinct </w:t>
      </w:r>
      <w:r>
        <w:rPr>
          <w:rFonts w:ascii="Arial" w:hAnsi="Arial" w:cs="Arial"/>
          <w:i/>
          <w:iCs/>
          <w:sz w:val="22"/>
          <w:szCs w:val="22"/>
          <w:lang w:val="en-US"/>
        </w:rPr>
        <w:t>Notiomastodon platensis</w:t>
      </w:r>
      <w:r>
        <w:rPr>
          <w:rFonts w:ascii="Arial" w:hAnsi="Arial" w:cs="Arial"/>
          <w:sz w:val="22"/>
          <w:szCs w:val="22"/>
          <w:lang w:val="en-US"/>
        </w:rPr>
        <w:t xml:space="preserve"> (proboscidea, Gomphoteriidae) inhabited mediterranean ecosystems during the Late Pleistocene in north-central Chile (31° S–36° S). </w:t>
      </w:r>
      <w:r>
        <w:rPr>
          <w:rFonts w:ascii="Arial" w:hAnsi="Arial" w:cs="Arial"/>
          <w:i/>
          <w:iCs/>
          <w:sz w:val="22"/>
          <w:szCs w:val="22"/>
          <w:lang w:val="en-US"/>
        </w:rPr>
        <w:t>Quaternary Science Reviews</w:t>
      </w:r>
      <w:r>
        <w:rPr>
          <w:rFonts w:ascii="Arial" w:hAnsi="Arial" w:cs="Arial"/>
          <w:sz w:val="22"/>
          <w:szCs w:val="22"/>
          <w:lang w:val="en-US"/>
        </w:rPr>
        <w:t xml:space="preserve">. 344, 108957. </w:t>
      </w:r>
      <w:r>
        <w:fldChar w:fldCharType="begin"/>
      </w:r>
      <w:r>
        <w:instrText xml:space="preserve"> HYPERLINK "https://doi.org/10.1016/j.quascirev.2024.108957" </w:instrText>
      </w:r>
      <w:r>
        <w:fldChar w:fldCharType="separate"/>
      </w:r>
      <w:r>
        <w:rPr>
          <w:rStyle w:val="12"/>
          <w:rFonts w:ascii="Arial" w:hAnsi="Arial" w:cs="Arial"/>
          <w:color w:val="auto"/>
          <w:sz w:val="22"/>
          <w:szCs w:val="22"/>
        </w:rPr>
        <w:t>https://doi.org/10.1016/j.quascirev.2024.108957</w:t>
      </w:r>
      <w:r>
        <w:rPr>
          <w:rStyle w:val="12"/>
          <w:rFonts w:ascii="Arial" w:hAnsi="Arial" w:cs="Arial"/>
          <w:color w:val="auto"/>
          <w:sz w:val="22"/>
          <w:szCs w:val="22"/>
        </w:rPr>
        <w:fldChar w:fldCharType="end"/>
      </w:r>
      <w:r>
        <w:rPr>
          <w:rFonts w:ascii="Arial" w:hAnsi="Arial" w:cs="Arial"/>
          <w:sz w:val="22"/>
          <w:szCs w:val="22"/>
        </w:rPr>
        <w:t>.</w:t>
      </w:r>
    </w:p>
    <w:p w14:paraId="07BF99E9">
      <w:pPr>
        <w:tabs>
          <w:tab w:val="left" w:pos="426"/>
        </w:tabs>
        <w:spacing w:line="480" w:lineRule="auto"/>
        <w:ind w:left="709" w:hanging="709"/>
        <w:rPr>
          <w:rFonts w:ascii="Arial" w:hAnsi="Arial" w:cs="Arial"/>
          <w:sz w:val="22"/>
          <w:szCs w:val="22"/>
          <w:lang w:val="nl-NL"/>
        </w:rPr>
      </w:pPr>
      <w:r>
        <w:rPr>
          <w:rFonts w:ascii="Arial" w:hAnsi="Arial" w:cs="Arial"/>
          <w:sz w:val="22"/>
          <w:szCs w:val="22"/>
        </w:rPr>
        <w:t xml:space="preserve">González-Guarda, E., Loayza, A.P., Segovia, R.A., Rivals, F., Petermann-Pichincura, A., Ramírez-Pedraza, I., Asevedo, L., Tornero, C., Labarca, R., Latorre, C., 2025. </w:t>
      </w:r>
      <w:r>
        <w:rPr>
          <w:rFonts w:ascii="Arial" w:hAnsi="Arial" w:cs="Arial"/>
          <w:sz w:val="22"/>
          <w:szCs w:val="22"/>
          <w:lang w:val="en-US"/>
        </w:rPr>
        <w:t xml:space="preserve">Fossil evidence of proboscidean frugivory and its lasting impact on South American ecosystems. </w:t>
      </w:r>
      <w:r>
        <w:rPr>
          <w:rFonts w:ascii="Arial" w:hAnsi="Arial" w:cs="Arial"/>
          <w:i/>
          <w:iCs/>
          <w:sz w:val="22"/>
          <w:szCs w:val="22"/>
          <w:lang w:val="nl-NL"/>
        </w:rPr>
        <w:t>Nature Ecology and Evolution</w:t>
      </w:r>
      <w:r>
        <w:rPr>
          <w:rFonts w:ascii="Arial" w:hAnsi="Arial" w:cs="Arial"/>
          <w:sz w:val="22"/>
          <w:szCs w:val="22"/>
          <w:lang w:val="nl-NL"/>
        </w:rPr>
        <w:t>. 9, 1168–1178. https://doi.org/10.1038/s41559-025-02713-8.</w:t>
      </w:r>
    </w:p>
    <w:p w14:paraId="5C802170">
      <w:pPr>
        <w:tabs>
          <w:tab w:val="left" w:pos="426"/>
        </w:tabs>
        <w:spacing w:line="480" w:lineRule="auto"/>
        <w:ind w:left="709" w:hanging="709"/>
        <w:rPr>
          <w:rFonts w:ascii="Arial" w:hAnsi="Arial" w:eastAsia="Times New Roman" w:cs="Arial"/>
          <w:sz w:val="22"/>
          <w:szCs w:val="22"/>
          <w:lang w:val="en-US"/>
        </w:rPr>
      </w:pPr>
      <w:r>
        <w:rPr>
          <w:rFonts w:ascii="Arial" w:hAnsi="Arial" w:eastAsia="Times New Roman" w:cs="Arial"/>
          <w:sz w:val="22"/>
          <w:szCs w:val="22"/>
          <w:shd w:val="clear" w:color="auto" w:fill="FFFFFF"/>
          <w:lang w:val="nl-NL"/>
        </w:rPr>
        <w:t xml:space="preserve">Grine, F. E., 1986. </w:t>
      </w:r>
      <w:r>
        <w:rPr>
          <w:rFonts w:ascii="Arial" w:hAnsi="Arial" w:eastAsia="Times New Roman" w:cs="Arial"/>
          <w:sz w:val="22"/>
          <w:szCs w:val="22"/>
          <w:shd w:val="clear" w:color="auto" w:fill="FFFFFF"/>
          <w:lang w:val="en-US"/>
        </w:rPr>
        <w:t>Dental evidence for dietary differences in Australopithecus and Paranthropus: a quantitative analysis of permanent molar microwear. Journal of Human Evolution 15, 783-822. https://doi.org/10.1016/S0047-2484(86)80010-0.</w:t>
      </w:r>
    </w:p>
    <w:p w14:paraId="3271F505">
      <w:pPr>
        <w:pStyle w:val="7"/>
        <w:tabs>
          <w:tab w:val="left" w:pos="426"/>
        </w:tabs>
        <w:spacing w:line="480" w:lineRule="auto"/>
        <w:ind w:left="709" w:hanging="709"/>
        <w:rPr>
          <w:rFonts w:ascii="Arial" w:hAnsi="Arial" w:cs="Arial"/>
          <w:sz w:val="22"/>
          <w:szCs w:val="22"/>
        </w:rPr>
      </w:pPr>
      <w:r>
        <w:rPr>
          <w:rFonts w:ascii="Arial" w:hAnsi="Arial" w:cs="Arial"/>
          <w:sz w:val="22"/>
          <w:szCs w:val="22"/>
          <w:lang w:val="en-US"/>
        </w:rPr>
        <w:t xml:space="preserve">Hansen, B. C. S., Rodbell, D. T., Seltzer, G. O., León, B., Young, K. R., Abbott, M., 2003. Late-glacial and Holocene vegetational history from two sites in the western Cordillera of southwestern Ecuador. </w:t>
      </w:r>
      <w:r>
        <w:rPr>
          <w:rFonts w:ascii="Arial" w:hAnsi="Arial" w:cs="Arial"/>
          <w:i/>
          <w:iCs/>
          <w:sz w:val="22"/>
          <w:szCs w:val="22"/>
        </w:rPr>
        <w:t>Palaeogeography</w:t>
      </w:r>
      <w:r>
        <w:rPr>
          <w:rFonts w:ascii="Arial" w:hAnsi="Arial" w:cs="Arial"/>
          <w:sz w:val="22"/>
          <w:szCs w:val="22"/>
        </w:rPr>
        <w:t>. Palaeoclimatology Palaeoecology. 194, 79-108. https://doi.org/10.1016/S0031-0182(03)00272-4.</w:t>
      </w:r>
    </w:p>
    <w:p w14:paraId="78A8F8EC">
      <w:pPr>
        <w:tabs>
          <w:tab w:val="left" w:pos="426"/>
        </w:tabs>
        <w:spacing w:line="480" w:lineRule="auto"/>
        <w:ind w:left="709" w:hanging="709"/>
        <w:rPr>
          <w:rFonts w:ascii="Arial" w:hAnsi="Arial" w:cs="Arial"/>
          <w:sz w:val="22"/>
          <w:szCs w:val="22"/>
          <w:lang w:val="de-DE"/>
        </w:rPr>
      </w:pPr>
      <w:r>
        <w:rPr>
          <w:rFonts w:ascii="Arial" w:hAnsi="Arial" w:cs="Arial"/>
          <w:sz w:val="22"/>
          <w:szCs w:val="22"/>
          <w:lang w:val="en-US"/>
        </w:rPr>
        <w:t>Hewitt, G. M. 2004. Genetic consequences of climatic oscillations in the Quaternary.</w:t>
      </w:r>
      <w:r>
        <w:t xml:space="preserve"> </w:t>
      </w:r>
      <w:r>
        <w:rPr>
          <w:rFonts w:ascii="Arial" w:hAnsi="Arial" w:cs="Arial"/>
          <w:i/>
          <w:iCs/>
          <w:sz w:val="22"/>
          <w:szCs w:val="22"/>
          <w:lang w:val="en-US"/>
        </w:rPr>
        <w:t>Philosophical Transactions of the Royal Society of London. Series B: Biological Sciences</w:t>
      </w:r>
      <w:r>
        <w:rPr>
          <w:rFonts w:ascii="Arial" w:hAnsi="Arial" w:cs="Arial"/>
          <w:sz w:val="22"/>
          <w:szCs w:val="22"/>
          <w:lang w:val="de-DE"/>
        </w:rPr>
        <w:t xml:space="preserve">. 359, 183–195. </w:t>
      </w:r>
      <w:r>
        <w:fldChar w:fldCharType="begin"/>
      </w:r>
      <w:r>
        <w:instrText xml:space="preserve"> HYPERLINK "https://doi.org/10.1098/rstb.2003.1388" </w:instrText>
      </w:r>
      <w:r>
        <w:fldChar w:fldCharType="separate"/>
      </w:r>
      <w:r>
        <w:rPr>
          <w:rStyle w:val="12"/>
          <w:color w:val="auto"/>
          <w:lang w:val="de-DE"/>
        </w:rPr>
        <w:t>https://doi.org/10.1098/rstb.2003.1388</w:t>
      </w:r>
      <w:r>
        <w:rPr>
          <w:rStyle w:val="12"/>
          <w:color w:val="auto"/>
          <w:lang w:val="de-DE"/>
        </w:rPr>
        <w:fldChar w:fldCharType="end"/>
      </w:r>
      <w:r>
        <w:rPr>
          <w:rFonts w:ascii="Arial" w:hAnsi="Arial" w:cs="Arial"/>
          <w:sz w:val="22"/>
          <w:szCs w:val="22"/>
          <w:lang w:val="de-DE"/>
        </w:rPr>
        <w:t>.</w:t>
      </w:r>
    </w:p>
    <w:p w14:paraId="2730E33F">
      <w:pPr>
        <w:tabs>
          <w:tab w:val="left" w:pos="426"/>
        </w:tabs>
        <w:spacing w:line="480" w:lineRule="auto"/>
        <w:ind w:left="709" w:hanging="709"/>
        <w:rPr>
          <w:rFonts w:ascii="Arial" w:hAnsi="Arial" w:cs="Arial"/>
          <w:sz w:val="22"/>
          <w:szCs w:val="22"/>
          <w:lang/>
        </w:rPr>
      </w:pPr>
      <w:r>
        <w:rPr>
          <w:rFonts w:ascii="Arial" w:hAnsi="Arial" w:cs="Arial"/>
          <w:sz w:val="22"/>
          <w:szCs w:val="22"/>
          <w:lang/>
        </w:rPr>
        <w:t xml:space="preserve">Hogg, A. G., Heaton, T. J., Hua, Q., Palmer, J. G., Turney, C. S. M., Southon, J., ... &amp; Reimer, P. J. 2020. SHCal20 Southern Hemisphere calibration, 0–55,000 years cal BP. </w:t>
      </w:r>
      <w:r>
        <w:rPr>
          <w:rFonts w:ascii="Arial" w:hAnsi="Arial" w:cs="Arial"/>
          <w:i/>
          <w:iCs/>
          <w:sz w:val="22"/>
          <w:szCs w:val="22"/>
          <w:lang/>
        </w:rPr>
        <w:t>Radiocarbon</w:t>
      </w:r>
      <w:r>
        <w:rPr>
          <w:rFonts w:ascii="Arial" w:hAnsi="Arial" w:cs="Arial"/>
          <w:sz w:val="22"/>
          <w:szCs w:val="22"/>
          <w:lang/>
        </w:rPr>
        <w:t xml:space="preserve">, 62(4), 759–778. </w:t>
      </w:r>
      <w:r>
        <w:fldChar w:fldCharType="begin"/>
      </w:r>
      <w:r>
        <w:instrText xml:space="preserve"> HYPERLINK "https://doi.org/10.1017/RDC.2020.59" </w:instrText>
      </w:r>
      <w:r>
        <w:fldChar w:fldCharType="separate"/>
      </w:r>
      <w:r>
        <w:rPr>
          <w:rStyle w:val="12"/>
          <w:rFonts w:ascii="Arial" w:hAnsi="Arial" w:cs="Arial"/>
          <w:color w:val="auto"/>
          <w:sz w:val="22"/>
          <w:szCs w:val="22"/>
          <w:lang/>
        </w:rPr>
        <w:t>https://doi.org/10.1017/RDC.2020.59</w:t>
      </w:r>
      <w:r>
        <w:rPr>
          <w:rStyle w:val="12"/>
          <w:rFonts w:ascii="Arial" w:hAnsi="Arial" w:cs="Arial"/>
          <w:color w:val="auto"/>
          <w:sz w:val="22"/>
          <w:szCs w:val="22"/>
          <w:lang/>
        </w:rPr>
        <w:fldChar w:fldCharType="end"/>
      </w:r>
    </w:p>
    <w:p w14:paraId="05625ECA">
      <w:pPr>
        <w:tabs>
          <w:tab w:val="left" w:pos="426"/>
        </w:tabs>
        <w:spacing w:line="480" w:lineRule="auto"/>
        <w:ind w:left="709" w:hanging="709"/>
        <w:rPr>
          <w:rFonts w:ascii="Arial" w:hAnsi="Arial" w:cs="Arial"/>
          <w:sz w:val="22"/>
          <w:szCs w:val="22"/>
          <w:lang w:val="en-US"/>
        </w:rPr>
      </w:pPr>
      <w:r>
        <w:rPr>
          <w:rFonts w:ascii="Arial" w:hAnsi="Arial" w:cs="Arial"/>
          <w:sz w:val="22"/>
          <w:szCs w:val="22"/>
          <w:lang w:val="de-DE"/>
        </w:rPr>
        <w:t xml:space="preserve">Hooghiemstra, H., van der Hammen, T., 1998. </w:t>
      </w:r>
      <w:r>
        <w:rPr>
          <w:rFonts w:ascii="Arial" w:hAnsi="Arial" w:cs="Arial"/>
          <w:sz w:val="22"/>
          <w:szCs w:val="22"/>
          <w:lang w:val="en-US"/>
        </w:rPr>
        <w:t>Neogene and Quaternary development of the neotropical rain forest: the forest refugia hypothesis, and a literature overview.</w:t>
      </w:r>
      <w:r>
        <w:t xml:space="preserve"> </w:t>
      </w:r>
      <w:r>
        <w:rPr>
          <w:rFonts w:ascii="Arial" w:hAnsi="Arial" w:cs="Arial"/>
          <w:i/>
          <w:iCs/>
          <w:sz w:val="22"/>
          <w:szCs w:val="22"/>
          <w:lang w:val="en-US"/>
        </w:rPr>
        <w:t>Earth-Science Reviews</w:t>
      </w:r>
      <w:r>
        <w:rPr>
          <w:rFonts w:ascii="Arial" w:hAnsi="Arial" w:cs="Arial"/>
          <w:sz w:val="22"/>
          <w:szCs w:val="22"/>
          <w:lang w:val="en-US"/>
        </w:rPr>
        <w:t xml:space="preserve">.  44, 147-183. </w:t>
      </w:r>
      <w:r>
        <w:fldChar w:fldCharType="begin"/>
      </w:r>
      <w:r>
        <w:instrText xml:space="preserve"> HYPERLINK "https://doi.org/10.1016/S0012-8252(98)00027-0" </w:instrText>
      </w:r>
      <w:r>
        <w:fldChar w:fldCharType="separate"/>
      </w:r>
      <w:r>
        <w:rPr>
          <w:rStyle w:val="12"/>
          <w:rFonts w:ascii="Arial" w:hAnsi="Arial" w:cs="Arial"/>
          <w:color w:val="auto"/>
          <w:sz w:val="22"/>
          <w:szCs w:val="22"/>
          <w:lang w:val="en-US"/>
        </w:rPr>
        <w:t>https://doi.org/10.1016/S0012-8252(98)00027-0</w:t>
      </w:r>
      <w:r>
        <w:rPr>
          <w:rStyle w:val="12"/>
          <w:rFonts w:ascii="Arial" w:hAnsi="Arial" w:cs="Arial"/>
          <w:color w:val="auto"/>
          <w:sz w:val="22"/>
          <w:szCs w:val="22"/>
          <w:lang w:val="en-US"/>
        </w:rPr>
        <w:fldChar w:fldCharType="end"/>
      </w:r>
      <w:r>
        <w:rPr>
          <w:rFonts w:ascii="Arial" w:hAnsi="Arial" w:cs="Arial"/>
          <w:sz w:val="22"/>
          <w:szCs w:val="22"/>
          <w:lang w:val="en-US"/>
        </w:rPr>
        <w:t>.</w:t>
      </w:r>
    </w:p>
    <w:p w14:paraId="363AA690">
      <w:pPr>
        <w:tabs>
          <w:tab w:val="left" w:pos="426"/>
        </w:tabs>
        <w:spacing w:line="480" w:lineRule="auto"/>
        <w:ind w:left="709" w:hanging="709"/>
        <w:rPr>
          <w:rFonts w:ascii="Arial" w:hAnsi="Arial" w:cs="Arial"/>
          <w:sz w:val="22"/>
          <w:szCs w:val="22"/>
          <w:lang w:val="en-US"/>
        </w:rPr>
      </w:pPr>
      <w:r>
        <w:rPr>
          <w:rFonts w:ascii="Arial" w:hAnsi="Arial" w:cs="Arial"/>
          <w:sz w:val="22"/>
          <w:szCs w:val="22"/>
        </w:rPr>
        <w:t>Hooghiemstra, H., Van der Hammen, T., 2004. Quaternary Ice-Age dynamics in the Colombian Andes: developing an understanding of our legacy. </w:t>
      </w:r>
      <w:r>
        <w:rPr>
          <w:rFonts w:ascii="Arial" w:hAnsi="Arial" w:cs="Arial"/>
          <w:i/>
          <w:iCs/>
          <w:sz w:val="22"/>
          <w:szCs w:val="22"/>
        </w:rPr>
        <w:t>Philosophical Transactions of the Royal Society of London. Series B: Biological Sciences</w:t>
      </w:r>
      <w:r>
        <w:rPr>
          <w:rFonts w:ascii="Arial" w:hAnsi="Arial" w:cs="Arial"/>
          <w:sz w:val="22"/>
          <w:szCs w:val="22"/>
        </w:rPr>
        <w:t>, </w:t>
      </w:r>
      <w:r>
        <w:rPr>
          <w:rFonts w:ascii="Arial" w:hAnsi="Arial" w:cs="Arial"/>
          <w:i/>
          <w:iCs/>
          <w:sz w:val="22"/>
          <w:szCs w:val="22"/>
        </w:rPr>
        <w:t>359</w:t>
      </w:r>
      <w:r>
        <w:rPr>
          <w:rFonts w:ascii="Arial" w:hAnsi="Arial" w:cs="Arial"/>
          <w:sz w:val="22"/>
          <w:szCs w:val="22"/>
        </w:rPr>
        <w:t>(1442), 173-181.</w:t>
      </w:r>
    </w:p>
    <w:p w14:paraId="29DB11F9">
      <w:pPr>
        <w:tabs>
          <w:tab w:val="left" w:pos="426"/>
        </w:tabs>
        <w:spacing w:line="480" w:lineRule="auto"/>
        <w:ind w:left="709" w:hanging="709"/>
        <w:rPr>
          <w:rFonts w:ascii="Arial" w:hAnsi="Arial" w:cs="Arial"/>
          <w:sz w:val="22"/>
          <w:szCs w:val="22"/>
          <w:lang w:val="it-IT"/>
        </w:rPr>
      </w:pPr>
      <w:r>
        <w:rPr>
          <w:rFonts w:ascii="Arial" w:hAnsi="Arial" w:cs="Arial"/>
          <w:sz w:val="22"/>
          <w:szCs w:val="22"/>
          <w:lang w:val="en-US"/>
        </w:rPr>
        <w:t xml:space="preserve">Hostetler, S. W., Mix, A. C., 1999. Reassessment of ice-age cooling of the tropical ocean and atmosphere. </w:t>
      </w:r>
      <w:r>
        <w:rPr>
          <w:rFonts w:ascii="Arial" w:hAnsi="Arial" w:cs="Arial"/>
          <w:i/>
          <w:iCs/>
          <w:sz w:val="22"/>
          <w:szCs w:val="22"/>
          <w:lang w:val="it-IT"/>
        </w:rPr>
        <w:t>Nature</w:t>
      </w:r>
      <w:r>
        <w:rPr>
          <w:rFonts w:ascii="Arial" w:hAnsi="Arial" w:cs="Arial"/>
          <w:sz w:val="22"/>
          <w:szCs w:val="22"/>
          <w:lang w:val="it-IT"/>
        </w:rPr>
        <w:t>. 399, 673–676. https://doi.org/10.1038/21401.</w:t>
      </w:r>
    </w:p>
    <w:p w14:paraId="544D45D6">
      <w:pPr>
        <w:tabs>
          <w:tab w:val="left" w:pos="426"/>
        </w:tabs>
        <w:spacing w:line="480" w:lineRule="auto"/>
        <w:ind w:left="709" w:hanging="709"/>
        <w:rPr>
          <w:rFonts w:ascii="Arial" w:hAnsi="Arial" w:cs="Arial"/>
          <w:sz w:val="22"/>
          <w:szCs w:val="22"/>
          <w:lang w:val="en-US"/>
        </w:rPr>
      </w:pPr>
      <w:r>
        <w:rPr>
          <w:rFonts w:ascii="Arial" w:hAnsi="Arial" w:cs="Arial"/>
          <w:sz w:val="22"/>
          <w:szCs w:val="22"/>
          <w:lang w:val="it-IT"/>
        </w:rPr>
        <w:t xml:space="preserve">Iacumin, P., Bocherens, H., Mariotti, A., Longinelli, A., 1996. </w:t>
      </w:r>
      <w:r>
        <w:rPr>
          <w:rFonts w:ascii="Arial" w:hAnsi="Arial" w:cs="Arial"/>
          <w:sz w:val="22"/>
          <w:szCs w:val="22"/>
          <w:lang w:val="en-US"/>
        </w:rPr>
        <w:t>Oxygen isotope analyses of co-existing carbonate and phosphate in biogenic apatite: a way to monitor diagenetic alteration of bone phosphate?</w:t>
      </w:r>
      <w:r>
        <w:t xml:space="preserve"> </w:t>
      </w:r>
      <w:r>
        <w:rPr>
          <w:rFonts w:ascii="Arial" w:hAnsi="Arial" w:cs="Arial"/>
          <w:i/>
          <w:iCs/>
          <w:sz w:val="22"/>
          <w:szCs w:val="22"/>
          <w:lang w:val="en-US"/>
        </w:rPr>
        <w:t>Earth and Planetary Science Letters</w:t>
      </w:r>
      <w:r>
        <w:rPr>
          <w:rFonts w:ascii="Arial" w:hAnsi="Arial" w:cs="Arial"/>
          <w:sz w:val="22"/>
          <w:szCs w:val="22"/>
          <w:lang w:val="en-US"/>
        </w:rPr>
        <w:t>. 142, 1–6. https://doi.org/10.1016/0012-821X(96)00093-3.</w:t>
      </w:r>
    </w:p>
    <w:p w14:paraId="337D0E6A">
      <w:pPr>
        <w:tabs>
          <w:tab w:val="left" w:pos="426"/>
        </w:tabs>
        <w:spacing w:line="480" w:lineRule="auto"/>
        <w:ind w:left="709" w:hanging="709"/>
        <w:rPr>
          <w:rFonts w:ascii="Arial" w:hAnsi="Arial" w:cs="Arial"/>
          <w:sz w:val="22"/>
          <w:szCs w:val="22"/>
          <w:lang w:val="en-US"/>
        </w:rPr>
      </w:pPr>
      <w:r>
        <w:rPr>
          <w:rFonts w:ascii="Arial" w:hAnsi="Arial" w:cs="Arial"/>
          <w:sz w:val="22"/>
          <w:szCs w:val="22"/>
          <w:lang w:val="en-US"/>
        </w:rPr>
        <w:t>King, T., Andrews, P., Boz, B., 1999. Effect of taphonomic processes on dental microwear. American Journal of Physical Anthropology: The Official Publication of the American Association of Physical Anthropologists, 108, 359-373. https://doi.org/10.1002/(SICI)1096-8644(199903)108:3&lt;359::AID-AJPA10&gt;3.0.CO;2-9</w:t>
      </w:r>
    </w:p>
    <w:p w14:paraId="5F9ED305">
      <w:pPr>
        <w:tabs>
          <w:tab w:val="left" w:pos="426"/>
        </w:tabs>
        <w:spacing w:line="480" w:lineRule="auto"/>
        <w:ind w:left="709" w:hanging="709"/>
        <w:rPr>
          <w:rFonts w:ascii="Arial" w:hAnsi="Arial" w:cs="Arial"/>
          <w:sz w:val="22"/>
          <w:szCs w:val="22"/>
          <w:lang w:val="en-US"/>
        </w:rPr>
      </w:pPr>
      <w:r>
        <w:rPr>
          <w:rFonts w:ascii="Arial" w:hAnsi="Arial" w:cs="Arial"/>
          <w:sz w:val="22"/>
          <w:szCs w:val="22"/>
          <w:lang w:val="en-US"/>
        </w:rPr>
        <w:t>Koch, P. L., Tuross, N. C., Fogel, M. L., 1997. The effects of sample treatment and diagenesis on the isotopic integrity of carbonate in biogenic hydroxylapatite.</w:t>
      </w:r>
      <w:r>
        <w:t xml:space="preserve"> </w:t>
      </w:r>
      <w:r>
        <w:rPr>
          <w:rFonts w:ascii="Arial" w:hAnsi="Arial" w:cs="Arial"/>
          <w:i/>
          <w:iCs/>
          <w:sz w:val="22"/>
          <w:szCs w:val="22"/>
          <w:lang w:val="en-US"/>
        </w:rPr>
        <w:t>Journal of Archaeological Science</w:t>
      </w:r>
      <w:r>
        <w:rPr>
          <w:rFonts w:ascii="Arial" w:hAnsi="Arial" w:cs="Arial"/>
          <w:sz w:val="22"/>
          <w:szCs w:val="22"/>
          <w:lang w:val="en-US"/>
        </w:rPr>
        <w:t>. 24, 417–429. https://doi.org/10.1006/jasc.1996.0126.</w:t>
      </w:r>
    </w:p>
    <w:p w14:paraId="71A6B14F">
      <w:pPr>
        <w:tabs>
          <w:tab w:val="left" w:pos="426"/>
        </w:tabs>
        <w:spacing w:line="480" w:lineRule="auto"/>
        <w:ind w:left="709" w:hanging="709"/>
        <w:rPr>
          <w:rFonts w:ascii="Arial" w:hAnsi="Arial" w:cs="Arial"/>
          <w:sz w:val="22"/>
          <w:szCs w:val="22"/>
        </w:rPr>
      </w:pPr>
      <w:r>
        <w:rPr>
          <w:rFonts w:ascii="Arial" w:hAnsi="Arial" w:cs="Arial"/>
          <w:sz w:val="22"/>
          <w:szCs w:val="22"/>
          <w:lang w:val="en-US"/>
        </w:rPr>
        <w:t>Kohn, M.J., 2010. Carbon isotope compositions of terrestrial C3 plants as indicators of (paleo)ecology and (paleo)climate.</w:t>
      </w:r>
      <w:r>
        <w:t xml:space="preserve"> </w:t>
      </w:r>
      <w:r>
        <w:rPr>
          <w:rFonts w:ascii="Arial" w:hAnsi="Arial" w:cs="Arial"/>
          <w:i/>
          <w:iCs/>
          <w:sz w:val="22"/>
          <w:szCs w:val="22"/>
          <w:lang w:val="en-US"/>
        </w:rPr>
        <w:t>Proceedings of the National Academy of Sciences of the United States of America</w:t>
      </w:r>
      <w:r>
        <w:rPr>
          <w:rFonts w:ascii="Arial" w:hAnsi="Arial" w:cs="Arial"/>
          <w:sz w:val="22"/>
          <w:szCs w:val="22"/>
        </w:rPr>
        <w:t xml:space="preserve">. 107, 19691–19695. </w:t>
      </w:r>
      <w:r>
        <w:fldChar w:fldCharType="begin"/>
      </w:r>
      <w:r>
        <w:instrText xml:space="preserve"> HYPERLINK "https://doi.org/10.1073/pnas.100493310" </w:instrText>
      </w:r>
      <w:r>
        <w:fldChar w:fldCharType="separate"/>
      </w:r>
      <w:r>
        <w:rPr>
          <w:rStyle w:val="12"/>
          <w:rFonts w:ascii="Arial" w:hAnsi="Arial" w:cs="Arial"/>
          <w:color w:val="auto"/>
          <w:sz w:val="22"/>
          <w:szCs w:val="22"/>
          <w:u w:val="none"/>
        </w:rPr>
        <w:t>https://doi.org/10.1073/pnas.100493310</w:t>
      </w:r>
      <w:r>
        <w:rPr>
          <w:rStyle w:val="12"/>
          <w:rFonts w:ascii="Arial" w:hAnsi="Arial" w:cs="Arial"/>
          <w:color w:val="auto"/>
          <w:sz w:val="22"/>
          <w:szCs w:val="22"/>
          <w:u w:val="none"/>
        </w:rPr>
        <w:fldChar w:fldCharType="end"/>
      </w:r>
      <w:r>
        <w:rPr>
          <w:rFonts w:ascii="Arial" w:hAnsi="Arial" w:cs="Arial"/>
          <w:sz w:val="22"/>
          <w:szCs w:val="22"/>
        </w:rPr>
        <w:t>.</w:t>
      </w:r>
    </w:p>
    <w:p w14:paraId="6222C894">
      <w:pPr>
        <w:tabs>
          <w:tab w:val="left" w:pos="426"/>
        </w:tabs>
        <w:spacing w:line="480" w:lineRule="auto"/>
        <w:ind w:left="709" w:hanging="709"/>
      </w:pPr>
      <w:r>
        <w:rPr>
          <w:rFonts w:ascii="Arial" w:hAnsi="Arial" w:cs="Arial"/>
          <w:sz w:val="22"/>
          <w:szCs w:val="22"/>
          <w:lang/>
        </w:rPr>
        <w:t>Lindsey, E. L., López, E. X., 2015. Tanque Loma, a new late-Pleistocene megafaunal tar seep locality from southwest Ecuador</w:t>
      </w:r>
      <w:r>
        <w:rPr>
          <w:rFonts w:ascii="Arial" w:hAnsi="Arial" w:cs="Arial"/>
          <w:i/>
          <w:iCs/>
          <w:sz w:val="22"/>
          <w:szCs w:val="22"/>
          <w:lang/>
        </w:rPr>
        <w:t>.</w:t>
      </w:r>
      <w:r>
        <w:t xml:space="preserve"> </w:t>
      </w:r>
      <w:r>
        <w:rPr>
          <w:rFonts w:ascii="Arial" w:hAnsi="Arial" w:cs="Arial"/>
          <w:i/>
          <w:iCs/>
          <w:sz w:val="22"/>
          <w:szCs w:val="22"/>
          <w:lang/>
        </w:rPr>
        <w:t xml:space="preserve">Journal of South American Earth Sciences, </w:t>
      </w:r>
      <w:r>
        <w:rPr>
          <w:rFonts w:ascii="Arial" w:hAnsi="Arial" w:cs="Arial"/>
          <w:sz w:val="22"/>
          <w:szCs w:val="22"/>
          <w:lang/>
        </w:rPr>
        <w:t xml:space="preserve">57, 61–82. </w:t>
      </w:r>
      <w:r>
        <w:fldChar w:fldCharType="begin"/>
      </w:r>
      <w:r>
        <w:instrText xml:space="preserve"> HYPERLINK "https://doi.org/10.1016/j.jsames.2014.11.003" </w:instrText>
      </w:r>
      <w:r>
        <w:fldChar w:fldCharType="separate"/>
      </w:r>
      <w:r>
        <w:rPr>
          <w:rStyle w:val="12"/>
          <w:rFonts w:ascii="Arial" w:hAnsi="Arial" w:cs="Arial"/>
          <w:color w:val="auto"/>
          <w:sz w:val="22"/>
          <w:szCs w:val="22"/>
          <w:lang/>
        </w:rPr>
        <w:t>https://doi.org/10.1016/j.jsames.2014.11.003</w:t>
      </w:r>
      <w:r>
        <w:rPr>
          <w:rStyle w:val="12"/>
          <w:rFonts w:ascii="Arial" w:hAnsi="Arial" w:cs="Arial"/>
          <w:color w:val="auto"/>
          <w:sz w:val="22"/>
          <w:szCs w:val="22"/>
          <w:lang/>
        </w:rPr>
        <w:fldChar w:fldCharType="end"/>
      </w:r>
    </w:p>
    <w:p w14:paraId="1FF57E90">
      <w:pPr>
        <w:tabs>
          <w:tab w:val="left" w:pos="426"/>
        </w:tabs>
        <w:spacing w:line="480" w:lineRule="auto"/>
        <w:ind w:left="709" w:hanging="709"/>
        <w:rPr>
          <w:rFonts w:ascii="Arial" w:hAnsi="Arial" w:cs="Arial"/>
          <w:sz w:val="22"/>
          <w:szCs w:val="22"/>
          <w:lang/>
        </w:rPr>
      </w:pPr>
      <w:r>
        <w:rPr>
          <w:rFonts w:ascii="Arial" w:hAnsi="Arial" w:cs="Arial"/>
          <w:sz w:val="22"/>
          <w:szCs w:val="22"/>
          <w:lang/>
        </w:rPr>
        <w:t xml:space="preserve">Montilla-Pacheco, A., Mora-Pisco, C. I. M., Durán-Vasco, M. E. D., Pastrán-Calles, F. R. P. 2024. Contribución al estudio de la geografía climática del Ecuador continental. </w:t>
      </w:r>
      <w:r>
        <w:rPr>
          <w:rFonts w:ascii="Arial" w:hAnsi="Arial" w:cs="Arial"/>
          <w:i/>
          <w:iCs/>
          <w:sz w:val="22"/>
          <w:szCs w:val="22"/>
          <w:lang/>
        </w:rPr>
        <w:t>Revista Ciencia UNEMI</w:t>
      </w:r>
      <w:r>
        <w:rPr>
          <w:rFonts w:ascii="Arial" w:hAnsi="Arial" w:cs="Arial"/>
          <w:sz w:val="22"/>
          <w:szCs w:val="22"/>
          <w:lang/>
        </w:rPr>
        <w:t>, 17(44), 237-248.</w:t>
      </w:r>
    </w:p>
    <w:p w14:paraId="562998D2">
      <w:pPr>
        <w:tabs>
          <w:tab w:val="left" w:pos="426"/>
        </w:tabs>
        <w:spacing w:line="480" w:lineRule="auto"/>
        <w:ind w:left="709" w:hanging="709"/>
        <w:rPr>
          <w:rFonts w:ascii="Arial" w:hAnsi="Arial" w:cs="Arial"/>
          <w:sz w:val="22"/>
          <w:szCs w:val="22"/>
          <w:lang w:val="en-US"/>
        </w:rPr>
      </w:pPr>
      <w:r>
        <w:rPr>
          <w:rFonts w:ascii="Arial" w:hAnsi="Arial" w:cs="Arial"/>
          <w:sz w:val="22"/>
          <w:szCs w:val="22"/>
        </w:rPr>
        <w:t xml:space="preserve">Mothé, D., Avilla, L. 2015. </w:t>
      </w:r>
      <w:r>
        <w:rPr>
          <w:rFonts w:ascii="Arial" w:hAnsi="Arial" w:cs="Arial"/>
          <w:sz w:val="22"/>
          <w:szCs w:val="22"/>
          <w:lang w:val="en-US"/>
        </w:rPr>
        <w:t>Mythbusting evolutionary issues on South American gomphotheriidae (mammalia: proboscidea). </w:t>
      </w:r>
      <w:r>
        <w:rPr>
          <w:rFonts w:ascii="Arial" w:hAnsi="Arial" w:cs="Arial"/>
          <w:i/>
          <w:iCs/>
          <w:sz w:val="22"/>
          <w:szCs w:val="22"/>
          <w:lang w:val="en-US"/>
        </w:rPr>
        <w:t>Quaternary Science Reviews</w:t>
      </w:r>
      <w:r>
        <w:rPr>
          <w:rFonts w:ascii="Arial" w:hAnsi="Arial" w:cs="Arial"/>
          <w:sz w:val="22"/>
          <w:szCs w:val="22"/>
          <w:lang w:val="en-US"/>
        </w:rPr>
        <w:t>, </w:t>
      </w:r>
      <w:r>
        <w:rPr>
          <w:rFonts w:ascii="Arial" w:hAnsi="Arial" w:cs="Arial"/>
          <w:i/>
          <w:iCs/>
          <w:sz w:val="22"/>
          <w:szCs w:val="22"/>
          <w:lang w:val="en-US"/>
        </w:rPr>
        <w:t>110</w:t>
      </w:r>
      <w:r>
        <w:rPr>
          <w:rFonts w:ascii="Arial" w:hAnsi="Arial" w:cs="Arial"/>
          <w:sz w:val="22"/>
          <w:szCs w:val="22"/>
          <w:lang w:val="en-US"/>
        </w:rPr>
        <w:t>, 23-35.</w:t>
      </w:r>
    </w:p>
    <w:p w14:paraId="605318DB">
      <w:pPr>
        <w:tabs>
          <w:tab w:val="left" w:pos="426"/>
        </w:tabs>
        <w:spacing w:line="480" w:lineRule="auto"/>
        <w:ind w:left="709" w:hanging="709"/>
        <w:rPr>
          <w:rFonts w:ascii="Arial" w:hAnsi="Arial" w:cs="Arial"/>
          <w:sz w:val="22"/>
          <w:szCs w:val="22"/>
          <w:lang/>
        </w:rPr>
      </w:pPr>
      <w:r>
        <w:rPr>
          <w:rFonts w:ascii="Arial" w:hAnsi="Arial" w:cs="Arial"/>
          <w:sz w:val="22"/>
          <w:szCs w:val="22"/>
          <w:lang/>
        </w:rPr>
        <w:t>Mothé, D., Avilla, L. S., Asevedo, L., Borges-Silva, L., Rosas, M., Labarca-Encina, R., Souberlich, R.,Soibelzon, E., Roman-Carrion, J. L., Ríos, S. D., Rincon, A. D., Oliveira, G. C., Lopes, R. P., 2017. Sixty years after ‘The mastodonts of Brazil’: The state of the art of South American proboscideans (Proboscidea, Gomphotheriidae). </w:t>
      </w:r>
      <w:r>
        <w:rPr>
          <w:rFonts w:ascii="Arial" w:hAnsi="Arial" w:cs="Arial"/>
          <w:i/>
          <w:iCs/>
          <w:sz w:val="22"/>
          <w:szCs w:val="22"/>
          <w:lang/>
        </w:rPr>
        <w:t>Quaternary International</w:t>
      </w:r>
      <w:r>
        <w:rPr>
          <w:rFonts w:ascii="Arial" w:hAnsi="Arial" w:cs="Arial"/>
          <w:sz w:val="22"/>
          <w:szCs w:val="22"/>
          <w:lang/>
        </w:rPr>
        <w:t>. 443, 52-64.</w:t>
      </w:r>
    </w:p>
    <w:p w14:paraId="7F813B7C">
      <w:pPr>
        <w:tabs>
          <w:tab w:val="left" w:pos="426"/>
        </w:tabs>
        <w:spacing w:line="480" w:lineRule="auto"/>
        <w:ind w:left="709" w:hanging="709"/>
        <w:rPr>
          <w:rFonts w:ascii="Arial" w:hAnsi="Arial" w:cs="Arial"/>
          <w:sz w:val="22"/>
          <w:szCs w:val="22"/>
        </w:rPr>
      </w:pPr>
      <w:r>
        <w:rPr>
          <w:rFonts w:ascii="Arial" w:hAnsi="Arial" w:cs="Arial"/>
          <w:sz w:val="22"/>
          <w:szCs w:val="22"/>
          <w:lang w:val="en-US"/>
        </w:rPr>
        <w:t>Phillips, D.L., 2012. Converting isotope values to diet composition: the use of mixingmodels.</w:t>
      </w:r>
      <w:r>
        <w:t xml:space="preserve"> </w:t>
      </w:r>
      <w:r>
        <w:rPr>
          <w:rFonts w:ascii="Arial" w:hAnsi="Arial" w:cs="Arial"/>
          <w:i/>
          <w:iCs/>
          <w:sz w:val="22"/>
          <w:szCs w:val="22"/>
          <w:lang w:val="en-US"/>
        </w:rPr>
        <w:t>Journal of Mammalogy</w:t>
      </w:r>
      <w:r>
        <w:rPr>
          <w:rFonts w:ascii="Arial" w:hAnsi="Arial" w:cs="Arial"/>
          <w:sz w:val="22"/>
          <w:szCs w:val="22"/>
        </w:rPr>
        <w:t>. 93, 342–352. https://doi.org/10.1644/11-MAMM-S-158.1.</w:t>
      </w:r>
    </w:p>
    <w:p w14:paraId="2FBC7CAF">
      <w:pPr>
        <w:tabs>
          <w:tab w:val="left" w:pos="426"/>
        </w:tabs>
        <w:spacing w:line="480" w:lineRule="auto"/>
        <w:ind w:left="709" w:hanging="709"/>
        <w:rPr>
          <w:rFonts w:ascii="Arial" w:hAnsi="Arial" w:cs="Arial"/>
          <w:sz w:val="22"/>
          <w:szCs w:val="22"/>
          <w:lang w:val="en-US"/>
        </w:rPr>
      </w:pPr>
      <w:r>
        <w:rPr>
          <w:rFonts w:ascii="Arial" w:hAnsi="Arial" w:eastAsia="Times New Roman" w:cs="Arial"/>
          <w:sz w:val="22"/>
          <w:szCs w:val="22"/>
          <w:lang/>
        </w:rPr>
        <w:t xml:space="preserve">Ministerio de Ambiente del Ecuador, 2013. Sistema de Clasificación de los Ecosistemas del Ecuador Continental. </w:t>
      </w:r>
      <w:r>
        <w:rPr>
          <w:rFonts w:ascii="Arial" w:hAnsi="Arial" w:eastAsia="Times New Roman" w:cs="Arial"/>
          <w:sz w:val="22"/>
          <w:szCs w:val="22"/>
          <w:lang w:val="en-US"/>
        </w:rPr>
        <w:t>Quito, Ecuador, Subsecretaría de Patrimonio Natural.</w:t>
      </w:r>
    </w:p>
    <w:p w14:paraId="6D082089">
      <w:pPr>
        <w:tabs>
          <w:tab w:val="left" w:pos="426"/>
        </w:tabs>
        <w:spacing w:line="480" w:lineRule="auto"/>
        <w:ind w:left="709" w:hanging="709"/>
        <w:rPr>
          <w:rFonts w:ascii="Arial" w:hAnsi="Arial" w:cs="Arial"/>
          <w:sz w:val="22"/>
          <w:szCs w:val="22"/>
          <w:highlight w:val="yellow"/>
          <w:lang w:val="en-US"/>
        </w:rPr>
      </w:pPr>
      <w:r>
        <w:rPr>
          <w:rFonts w:ascii="Arial" w:hAnsi="Arial" w:cs="Arial"/>
          <w:sz w:val="22"/>
          <w:szCs w:val="22"/>
          <w:lang w:val="en-US"/>
        </w:rPr>
        <w:t xml:space="preserve">Prance, G. T., 1982. A Review of the Phytogeographic Evidences for Pleistocene Climate Changes in the Neotropics. </w:t>
      </w:r>
      <w:r>
        <w:rPr>
          <w:rFonts w:ascii="Arial" w:hAnsi="Arial" w:cs="Arial"/>
          <w:i/>
          <w:iCs/>
          <w:sz w:val="22"/>
          <w:szCs w:val="22"/>
          <w:lang w:val="en-US"/>
        </w:rPr>
        <w:t>Annals of the Missouri Botanical Garden</w:t>
      </w:r>
      <w:r>
        <w:rPr>
          <w:rFonts w:ascii="Arial" w:hAnsi="Arial" w:cs="Arial"/>
          <w:sz w:val="22"/>
          <w:szCs w:val="22"/>
          <w:lang w:val="en-US"/>
        </w:rPr>
        <w:t>, 69, 594–624. https://doi.org/10.2307/2399085.</w:t>
      </w:r>
    </w:p>
    <w:p w14:paraId="6BD5153D">
      <w:pPr>
        <w:tabs>
          <w:tab w:val="left" w:pos="426"/>
        </w:tabs>
        <w:spacing w:line="480" w:lineRule="auto"/>
        <w:ind w:left="709" w:hanging="709"/>
        <w:rPr>
          <w:rFonts w:ascii="Arial" w:hAnsi="Arial" w:cs="Arial"/>
          <w:sz w:val="22"/>
          <w:szCs w:val="22"/>
          <w:lang w:val="nl-NL"/>
        </w:rPr>
      </w:pPr>
      <w:r>
        <w:rPr>
          <w:rFonts w:ascii="Arial" w:hAnsi="Arial" w:cs="Arial"/>
          <w:sz w:val="22"/>
          <w:szCs w:val="22"/>
          <w:lang w:val="en-US"/>
        </w:rPr>
        <w:t>Ramírez</w:t>
      </w:r>
      <w:r>
        <w:rPr>
          <w:rFonts w:ascii="Cambria Math" w:hAnsi="Cambria Math" w:cs="Cambria Math"/>
          <w:sz w:val="22"/>
          <w:szCs w:val="22"/>
          <w:lang w:val="en-US"/>
        </w:rPr>
        <w:t>‐</w:t>
      </w:r>
      <w:r>
        <w:rPr>
          <w:rFonts w:ascii="Arial" w:hAnsi="Arial" w:cs="Arial"/>
          <w:sz w:val="22"/>
          <w:szCs w:val="22"/>
          <w:lang w:val="en-US"/>
        </w:rPr>
        <w:t xml:space="preserve">Barahona, S., Eguiarte, L. E., 2013. The role of glacial cycles in promoting genetic diversity in the Neotropics: the case of cloud forests during the Last Glacial Maximum. </w:t>
      </w:r>
      <w:r>
        <w:rPr>
          <w:rFonts w:ascii="Arial" w:hAnsi="Arial" w:cs="Arial"/>
          <w:i/>
          <w:iCs/>
          <w:sz w:val="22"/>
          <w:szCs w:val="22"/>
          <w:lang w:val="nl-NL"/>
        </w:rPr>
        <w:t>Ecology and Evolution</w:t>
      </w:r>
      <w:r>
        <w:rPr>
          <w:rFonts w:ascii="Arial" w:hAnsi="Arial" w:cs="Arial"/>
          <w:sz w:val="22"/>
          <w:szCs w:val="22"/>
          <w:lang w:val="nl-NL"/>
        </w:rPr>
        <w:t>. 3, 725-738. https://doi.org/10.1002/ece3.483.</w:t>
      </w:r>
    </w:p>
    <w:p w14:paraId="4C8F8288">
      <w:pPr>
        <w:tabs>
          <w:tab w:val="left" w:pos="426"/>
        </w:tabs>
        <w:spacing w:line="480" w:lineRule="auto"/>
        <w:ind w:left="709" w:hanging="709"/>
        <w:rPr>
          <w:rFonts w:ascii="Arial" w:hAnsi="Arial" w:cs="Arial"/>
          <w:sz w:val="22"/>
          <w:szCs w:val="22"/>
          <w:lang w:val="en-US"/>
        </w:rPr>
      </w:pPr>
      <w:r>
        <w:rPr>
          <w:rFonts w:ascii="Arial" w:hAnsi="Arial" w:cs="Arial"/>
          <w:sz w:val="22"/>
          <w:szCs w:val="22"/>
          <w:lang w:val="en-US"/>
        </w:rPr>
        <w:t xml:space="preserve">Rozanski, K., Araguás Araguás, L., 1995. Spatial and temporal variability of stable isotope composition of precipitation over the South American continent. </w:t>
      </w:r>
      <w:r>
        <w:rPr>
          <w:rFonts w:ascii="Arial" w:hAnsi="Arial" w:cs="Arial"/>
          <w:i/>
          <w:iCs/>
          <w:sz w:val="22"/>
          <w:szCs w:val="22"/>
          <w:lang w:val="en-US"/>
        </w:rPr>
        <w:t>Bulletin de l'Institut Français d'Études Andines</w:t>
      </w:r>
      <w:r>
        <w:rPr>
          <w:rFonts w:ascii="Arial" w:hAnsi="Arial" w:cs="Arial"/>
          <w:sz w:val="22"/>
          <w:szCs w:val="22"/>
          <w:lang w:val="en-US"/>
        </w:rPr>
        <w:t xml:space="preserve">. 24, 379-390. </w:t>
      </w:r>
      <w:r>
        <w:fldChar w:fldCharType="begin"/>
      </w:r>
      <w:r>
        <w:instrText xml:space="preserve"> HYPERLINK "https://doi.org/10.3406/bifea.1995.1189" </w:instrText>
      </w:r>
      <w:r>
        <w:fldChar w:fldCharType="separate"/>
      </w:r>
      <w:r>
        <w:rPr>
          <w:rStyle w:val="12"/>
          <w:rFonts w:ascii="Arial" w:hAnsi="Arial" w:eastAsia="Times New Roman" w:cs="Arial"/>
          <w:color w:val="auto"/>
          <w:sz w:val="22"/>
          <w:szCs w:val="22"/>
          <w:u w:val="none"/>
          <w:shd w:val="clear" w:color="auto" w:fill="FFFFFF"/>
          <w:lang w:val="en-US"/>
        </w:rPr>
        <w:t>https://doi.org/</w:t>
      </w:r>
      <w:r>
        <w:rPr>
          <w:rStyle w:val="12"/>
          <w:rFonts w:ascii="Arial" w:hAnsi="Arial" w:cs="Arial"/>
          <w:color w:val="auto"/>
          <w:sz w:val="22"/>
          <w:szCs w:val="22"/>
          <w:u w:val="none"/>
          <w:lang w:val="en-US"/>
        </w:rPr>
        <w:t>10.3406/bifea.1995.1189</w:t>
      </w:r>
      <w:r>
        <w:rPr>
          <w:rStyle w:val="12"/>
          <w:rFonts w:ascii="Arial" w:hAnsi="Arial" w:cs="Arial"/>
          <w:color w:val="auto"/>
          <w:sz w:val="22"/>
          <w:szCs w:val="22"/>
          <w:u w:val="none"/>
          <w:lang w:val="en-US"/>
        </w:rPr>
        <w:fldChar w:fldCharType="end"/>
      </w:r>
      <w:r>
        <w:rPr>
          <w:rFonts w:ascii="Arial" w:hAnsi="Arial" w:cs="Arial"/>
          <w:sz w:val="22"/>
          <w:szCs w:val="22"/>
          <w:lang w:val="en-US"/>
        </w:rPr>
        <w:t>.</w:t>
      </w:r>
    </w:p>
    <w:p w14:paraId="23AAB560">
      <w:pPr>
        <w:tabs>
          <w:tab w:val="left" w:pos="426"/>
        </w:tabs>
        <w:spacing w:line="480" w:lineRule="auto"/>
        <w:ind w:left="709" w:hanging="709"/>
        <w:rPr>
          <w:rFonts w:ascii="Arial" w:hAnsi="Arial" w:cs="Arial"/>
          <w:sz w:val="22"/>
          <w:szCs w:val="22"/>
          <w:lang w:val="en-US"/>
        </w:rPr>
      </w:pPr>
      <w:r>
        <w:rPr>
          <w:rFonts w:ascii="Arial" w:hAnsi="Arial" w:cs="Arial"/>
          <w:sz w:val="22"/>
          <w:szCs w:val="22"/>
          <w:lang w:val="en-US"/>
        </w:rPr>
        <w:t xml:space="preserve">Salati, E., Dall'Olio, A., Matsui, E., Gat, J. R., 1979. Recycling of water in the Amazon Basin: An isotopic study. </w:t>
      </w:r>
      <w:r>
        <w:rPr>
          <w:rFonts w:ascii="Arial" w:hAnsi="Arial" w:cs="Arial"/>
          <w:i/>
          <w:iCs/>
          <w:sz w:val="22"/>
          <w:szCs w:val="22"/>
          <w:lang w:val="en-US"/>
        </w:rPr>
        <w:t>Water Resources Research</w:t>
      </w:r>
      <w:r>
        <w:rPr>
          <w:rFonts w:ascii="Arial" w:hAnsi="Arial" w:cs="Arial"/>
          <w:sz w:val="22"/>
          <w:szCs w:val="22"/>
          <w:lang w:val="en-US"/>
        </w:rPr>
        <w:t xml:space="preserve">. 15, 1250-1258. </w:t>
      </w:r>
      <w:r>
        <w:fldChar w:fldCharType="begin"/>
      </w:r>
      <w:r>
        <w:instrText xml:space="preserve"> HYPERLINK "https://doi.org/10.1029/WR015i005p01250" </w:instrText>
      </w:r>
      <w:r>
        <w:fldChar w:fldCharType="separate"/>
      </w:r>
      <w:r>
        <w:rPr>
          <w:rStyle w:val="12"/>
          <w:rFonts w:ascii="Arial" w:hAnsi="Arial" w:cs="Arial"/>
          <w:color w:val="auto"/>
          <w:sz w:val="22"/>
          <w:szCs w:val="22"/>
          <w:u w:val="none"/>
          <w:lang w:val="en-US"/>
        </w:rPr>
        <w:t>https://doi.org/10.1029/WR015i005p01250</w:t>
      </w:r>
      <w:r>
        <w:rPr>
          <w:rStyle w:val="12"/>
          <w:rFonts w:ascii="Arial" w:hAnsi="Arial" w:cs="Arial"/>
          <w:color w:val="auto"/>
          <w:sz w:val="22"/>
          <w:szCs w:val="22"/>
          <w:u w:val="none"/>
          <w:lang w:val="en-US"/>
        </w:rPr>
        <w:fldChar w:fldCharType="end"/>
      </w:r>
      <w:r>
        <w:rPr>
          <w:rFonts w:ascii="Arial" w:hAnsi="Arial" w:cs="Arial"/>
          <w:sz w:val="22"/>
          <w:szCs w:val="22"/>
          <w:lang w:val="en-US"/>
        </w:rPr>
        <w:t>.</w:t>
      </w:r>
    </w:p>
    <w:p w14:paraId="388F87D4">
      <w:pPr>
        <w:tabs>
          <w:tab w:val="left" w:pos="426"/>
        </w:tabs>
        <w:spacing w:line="480" w:lineRule="auto"/>
        <w:ind w:left="709" w:hanging="709"/>
        <w:rPr>
          <w:rFonts w:ascii="Arial" w:hAnsi="Arial" w:cs="Arial"/>
          <w:sz w:val="22"/>
          <w:szCs w:val="22"/>
        </w:rPr>
      </w:pPr>
      <w:r>
        <w:rPr>
          <w:rFonts w:ascii="Arial" w:hAnsi="Arial" w:cs="Arial"/>
          <w:sz w:val="22"/>
          <w:szCs w:val="22"/>
          <w:lang w:val="en-US"/>
        </w:rPr>
        <w:t xml:space="preserve">Sánchez, B., Prado, J.L., Alberdi, M.T., 2004. Feeding ecology, dispersal, and extinction of South American Pleistocene gomphotheres (Gomphotheriidae, Proboscidea). </w:t>
      </w:r>
      <w:r>
        <w:rPr>
          <w:rFonts w:ascii="Arial" w:hAnsi="Arial" w:cs="Arial"/>
          <w:i/>
          <w:iCs/>
          <w:sz w:val="22"/>
          <w:szCs w:val="22"/>
        </w:rPr>
        <w:t xml:space="preserve">Paleobiology </w:t>
      </w:r>
      <w:r>
        <w:rPr>
          <w:rFonts w:ascii="Arial" w:hAnsi="Arial" w:cs="Arial"/>
          <w:sz w:val="22"/>
          <w:szCs w:val="22"/>
        </w:rPr>
        <w:t xml:space="preserve">30, 146–161. </w:t>
      </w:r>
      <w:r>
        <w:fldChar w:fldCharType="begin"/>
      </w:r>
      <w:r>
        <w:instrText xml:space="preserve"> HYPERLINK "https://doi.org/10.1666/0094-8373(2004)030%3c0146:fedaeo%3e2.0.co;2" </w:instrText>
      </w:r>
      <w:r>
        <w:fldChar w:fldCharType="separate"/>
      </w:r>
      <w:r>
        <w:rPr>
          <w:rStyle w:val="12"/>
          <w:color w:val="auto"/>
        </w:rPr>
        <w:t>https://doi.org/10.1666/0094-8373(2004)030&lt;0146:fedaeo&gt;2.0.co;2</w:t>
      </w:r>
      <w:r>
        <w:rPr>
          <w:rStyle w:val="12"/>
          <w:color w:val="auto"/>
        </w:rPr>
        <w:fldChar w:fldCharType="end"/>
      </w:r>
      <w:r>
        <w:rPr>
          <w:rFonts w:ascii="Arial" w:hAnsi="Arial" w:cs="Arial"/>
          <w:sz w:val="22"/>
          <w:szCs w:val="22"/>
        </w:rPr>
        <w:t>.</w:t>
      </w:r>
    </w:p>
    <w:p w14:paraId="3B56BC8D">
      <w:pPr>
        <w:tabs>
          <w:tab w:val="left" w:pos="426"/>
        </w:tabs>
        <w:spacing w:line="480" w:lineRule="auto"/>
        <w:ind w:left="709" w:hanging="709"/>
        <w:rPr>
          <w:rFonts w:ascii="Arial" w:hAnsi="Arial" w:cs="Arial"/>
          <w:sz w:val="22"/>
          <w:szCs w:val="22"/>
        </w:rPr>
      </w:pPr>
      <w:r>
        <w:rPr>
          <w:rFonts w:ascii="Arial" w:hAnsi="Arial" w:cs="Arial"/>
          <w:sz w:val="22"/>
          <w:szCs w:val="22"/>
          <w:lang w:val="de-DE"/>
        </w:rPr>
        <w:t>Semprebon, G. M.</w:t>
      </w:r>
      <w:r>
        <w:rPr>
          <w:rFonts w:ascii="Arial" w:hAnsi="Arial" w:cs="Arial"/>
          <w:iCs/>
          <w:sz w:val="22"/>
          <w:szCs w:val="22"/>
          <w:lang w:val="de-DE"/>
        </w:rPr>
        <w:t>, Rivals, F., Fahlke, J. M., Sanders, W. J., Lister, A. M., Göhlich, U. B., 2016.</w:t>
      </w:r>
      <w:r>
        <w:rPr>
          <w:rFonts w:ascii="Arial" w:hAnsi="Arial" w:cs="Arial"/>
          <w:sz w:val="22"/>
          <w:szCs w:val="22"/>
          <w:lang w:val="de-DE"/>
        </w:rPr>
        <w:t xml:space="preserve"> </w:t>
      </w:r>
      <w:r>
        <w:rPr>
          <w:rFonts w:ascii="Arial" w:hAnsi="Arial" w:cs="Arial"/>
          <w:sz w:val="22"/>
          <w:szCs w:val="22"/>
          <w:lang w:val="en-US"/>
        </w:rPr>
        <w:t xml:space="preserve">Dietary reconstruction of pygmy mammoths from Santa Rosa Island of California. </w:t>
      </w:r>
      <w:r>
        <w:rPr>
          <w:rFonts w:ascii="Arial" w:hAnsi="Arial" w:cs="Arial"/>
          <w:i/>
          <w:sz w:val="22"/>
          <w:szCs w:val="22"/>
        </w:rPr>
        <w:t>Quaternary International</w:t>
      </w:r>
      <w:r>
        <w:rPr>
          <w:rFonts w:ascii="Arial" w:hAnsi="Arial" w:cs="Arial"/>
          <w:iCs/>
          <w:sz w:val="22"/>
          <w:szCs w:val="22"/>
        </w:rPr>
        <w:t>.</w:t>
      </w:r>
      <w:r>
        <w:rPr>
          <w:rFonts w:ascii="Arial" w:hAnsi="Arial" w:cs="Arial"/>
          <w:sz w:val="22"/>
          <w:szCs w:val="22"/>
        </w:rPr>
        <w:t xml:space="preserve"> </w:t>
      </w:r>
      <w:r>
        <w:rPr>
          <w:rFonts w:ascii="Arial" w:hAnsi="Arial" w:cs="Arial"/>
          <w:bCs/>
          <w:sz w:val="22"/>
          <w:szCs w:val="22"/>
        </w:rPr>
        <w:t>406,</w:t>
      </w:r>
      <w:r>
        <w:rPr>
          <w:rFonts w:ascii="Arial" w:hAnsi="Arial" w:cs="Arial"/>
          <w:sz w:val="22"/>
          <w:szCs w:val="22"/>
        </w:rPr>
        <w:t xml:space="preserve"> 123–136. </w:t>
      </w:r>
      <w:r>
        <w:fldChar w:fldCharType="begin"/>
      </w:r>
      <w:r>
        <w:instrText xml:space="preserve"> HYPERLINK "https://doi.org/10.1016/j.quaint.2015.10.120" </w:instrText>
      </w:r>
      <w:r>
        <w:fldChar w:fldCharType="separate"/>
      </w:r>
      <w:r>
        <w:rPr>
          <w:rStyle w:val="12"/>
          <w:rFonts w:ascii="Arial" w:hAnsi="Arial" w:cs="Arial"/>
          <w:color w:val="auto"/>
          <w:sz w:val="22"/>
          <w:szCs w:val="22"/>
          <w:u w:val="none"/>
        </w:rPr>
        <w:t>https://doi.org/10.1016/j.quaint.2015.10.120</w:t>
      </w:r>
      <w:r>
        <w:rPr>
          <w:rStyle w:val="12"/>
          <w:rFonts w:ascii="Arial" w:hAnsi="Arial" w:cs="Arial"/>
          <w:color w:val="auto"/>
          <w:sz w:val="22"/>
          <w:szCs w:val="22"/>
          <w:u w:val="none"/>
        </w:rPr>
        <w:fldChar w:fldCharType="end"/>
      </w:r>
      <w:r>
        <w:rPr>
          <w:rFonts w:ascii="Arial" w:hAnsi="Arial" w:cs="Arial"/>
          <w:sz w:val="22"/>
          <w:szCs w:val="22"/>
        </w:rPr>
        <w:t>.</w:t>
      </w:r>
    </w:p>
    <w:p w14:paraId="755AA37C">
      <w:pPr>
        <w:tabs>
          <w:tab w:val="left" w:pos="426"/>
        </w:tabs>
        <w:spacing w:line="480" w:lineRule="auto"/>
        <w:ind w:left="709" w:hanging="709"/>
        <w:rPr>
          <w:rFonts w:ascii="Arial" w:hAnsi="Arial" w:cs="Arial"/>
          <w:sz w:val="22"/>
          <w:szCs w:val="22"/>
          <w:lang w:val="de-DE"/>
        </w:rPr>
      </w:pPr>
      <w:r>
        <w:rPr>
          <w:rFonts w:ascii="Arial" w:hAnsi="Arial" w:cs="Arial"/>
          <w:sz w:val="22"/>
          <w:szCs w:val="22"/>
        </w:rPr>
        <w:t xml:space="preserve">Solounias, N., Semprebon, G. 2002. </w:t>
      </w:r>
      <w:r>
        <w:rPr>
          <w:rFonts w:ascii="Arial" w:hAnsi="Arial" w:cs="Arial"/>
          <w:sz w:val="22"/>
          <w:szCs w:val="22"/>
          <w:lang w:val="en-US"/>
        </w:rPr>
        <w:t>Advances in the reconstruction of ungulate ecomorphology with application to early fossil equids.</w:t>
      </w:r>
      <w:r>
        <w:t xml:space="preserve"> </w:t>
      </w:r>
      <w:r>
        <w:rPr>
          <w:rFonts w:ascii="Arial" w:hAnsi="Arial" w:cs="Arial"/>
          <w:i/>
          <w:iCs/>
          <w:sz w:val="22"/>
          <w:szCs w:val="22"/>
          <w:lang w:val="en-US"/>
        </w:rPr>
        <w:t>American Museum Novitates</w:t>
      </w:r>
      <w:r>
        <w:rPr>
          <w:rFonts w:ascii="Arial" w:hAnsi="Arial" w:cs="Arial"/>
          <w:sz w:val="22"/>
          <w:szCs w:val="22"/>
          <w:lang w:val="de-DE"/>
        </w:rPr>
        <w:t>.</w:t>
      </w:r>
      <w:r>
        <w:rPr>
          <w:rFonts w:ascii="Arial" w:hAnsi="Arial" w:cs="Arial"/>
          <w:b/>
          <w:bCs/>
          <w:sz w:val="22"/>
          <w:szCs w:val="22"/>
          <w:lang w:val="de-DE"/>
        </w:rPr>
        <w:t xml:space="preserve"> </w:t>
      </w:r>
      <w:r>
        <w:rPr>
          <w:rFonts w:ascii="Arial" w:hAnsi="Arial" w:cs="Arial"/>
          <w:sz w:val="22"/>
          <w:szCs w:val="22"/>
          <w:lang w:val="de-DE"/>
        </w:rPr>
        <w:t>2002 (3366), 1–49. https://doi.org/10.1206/0003-0082(2002)366&lt;0001:AITROU&gt;2.0.CO;2.</w:t>
      </w:r>
    </w:p>
    <w:p w14:paraId="23C06D25">
      <w:pPr>
        <w:tabs>
          <w:tab w:val="left" w:pos="426"/>
        </w:tabs>
        <w:spacing w:line="480" w:lineRule="auto"/>
        <w:ind w:left="709" w:hanging="709"/>
        <w:rPr>
          <w:rFonts w:ascii="Arial" w:hAnsi="Arial" w:cs="Arial"/>
          <w:sz w:val="22"/>
          <w:szCs w:val="22"/>
          <w:lang/>
        </w:rPr>
      </w:pPr>
      <w:r>
        <w:rPr>
          <w:rFonts w:ascii="Arial" w:hAnsi="Arial" w:cs="Arial"/>
          <w:sz w:val="22"/>
          <w:szCs w:val="22"/>
          <w:lang/>
        </w:rPr>
        <w:t xml:space="preserve">Stuiver, M., Reimer, P. J. 2020. CALIB 8.0 [Computer software]. Available at: </w:t>
      </w:r>
      <w:r>
        <w:fldChar w:fldCharType="begin"/>
      </w:r>
      <w:r>
        <w:instrText xml:space="preserve"> HYPERLINK "http://calib.org" </w:instrText>
      </w:r>
      <w:r>
        <w:fldChar w:fldCharType="separate"/>
      </w:r>
      <w:r>
        <w:rPr>
          <w:rStyle w:val="12"/>
          <w:rFonts w:ascii="Arial" w:hAnsi="Arial" w:cs="Arial"/>
          <w:color w:val="auto"/>
          <w:sz w:val="22"/>
          <w:szCs w:val="22"/>
          <w:lang/>
        </w:rPr>
        <w:t>http://calib.org</w:t>
      </w:r>
      <w:r>
        <w:rPr>
          <w:rStyle w:val="12"/>
          <w:rFonts w:ascii="Arial" w:hAnsi="Arial" w:cs="Arial"/>
          <w:color w:val="auto"/>
          <w:sz w:val="22"/>
          <w:szCs w:val="22"/>
          <w:lang/>
        </w:rPr>
        <w:fldChar w:fldCharType="end"/>
      </w:r>
    </w:p>
    <w:p w14:paraId="180DA137">
      <w:pPr>
        <w:tabs>
          <w:tab w:val="left" w:pos="426"/>
        </w:tabs>
        <w:spacing w:line="480" w:lineRule="auto"/>
        <w:ind w:left="709" w:hanging="709"/>
        <w:rPr>
          <w:rFonts w:ascii="Arial" w:hAnsi="Arial" w:cs="Arial"/>
          <w:sz w:val="22"/>
          <w:szCs w:val="22"/>
          <w:lang w:val="en-US"/>
        </w:rPr>
      </w:pPr>
      <w:r>
        <w:rPr>
          <w:rFonts w:ascii="Arial" w:hAnsi="Arial" w:cs="Arial"/>
          <w:sz w:val="22"/>
          <w:szCs w:val="22"/>
        </w:rPr>
        <w:t xml:space="preserve">Taucare, M., Daniele, L., Viguier, B., Vallejos, A., Arancibia, G., 2020. </w:t>
      </w:r>
      <w:r>
        <w:rPr>
          <w:rFonts w:ascii="Arial" w:hAnsi="Arial" w:cs="Arial"/>
          <w:sz w:val="22"/>
          <w:szCs w:val="22"/>
          <w:lang w:val="en-US"/>
        </w:rPr>
        <w:t xml:space="preserve">Groundwater resources and recharge processes in the Western Andean Front of Central Chile. </w:t>
      </w:r>
      <w:r>
        <w:rPr>
          <w:rFonts w:ascii="Arial" w:hAnsi="Arial" w:cs="Arial"/>
          <w:i/>
          <w:iCs/>
          <w:sz w:val="22"/>
          <w:szCs w:val="22"/>
          <w:lang w:val="en-US"/>
        </w:rPr>
        <w:t>Science of the Total Environment</w:t>
      </w:r>
      <w:r>
        <w:rPr>
          <w:rFonts w:ascii="Arial" w:hAnsi="Arial" w:cs="Arial"/>
          <w:sz w:val="22"/>
          <w:szCs w:val="22"/>
          <w:lang w:val="en-US"/>
        </w:rPr>
        <w:t>. 722, 137824. https://doi.org/10.1016/j.scitotenv.2020.137824</w:t>
      </w:r>
    </w:p>
    <w:p w14:paraId="4D6E7031">
      <w:pPr>
        <w:tabs>
          <w:tab w:val="left" w:pos="426"/>
        </w:tabs>
        <w:spacing w:line="480" w:lineRule="auto"/>
        <w:ind w:left="709" w:hanging="709"/>
        <w:rPr>
          <w:rFonts w:ascii="Arial" w:hAnsi="Arial" w:cs="Arial"/>
          <w:sz w:val="22"/>
          <w:szCs w:val="22"/>
          <w:lang w:val="fr-FR"/>
        </w:rPr>
      </w:pPr>
      <w:r>
        <w:rPr>
          <w:rFonts w:ascii="Arial" w:hAnsi="Arial" w:cs="Arial"/>
          <w:sz w:val="22"/>
          <w:szCs w:val="22"/>
          <w:lang w:val="en-US"/>
        </w:rPr>
        <w:t xml:space="preserve">Tejada-Lara, J.V., MacFadden, B.J., Bermudez, L., Rojas, G., Salas-Gismondi, R., Flynn, J. J., 2018. </w:t>
      </w:r>
      <w:r>
        <w:rPr>
          <w:rFonts w:ascii="Arial" w:hAnsi="Arial" w:cs="Arial"/>
          <w:i/>
          <w:iCs/>
          <w:sz w:val="22"/>
          <w:szCs w:val="22"/>
          <w:lang w:val="en-US"/>
        </w:rPr>
        <w:t>Proceedings of the Royal Society B</w:t>
      </w:r>
      <w:bookmarkStart w:id="1" w:name="_Hlk209281217"/>
      <w:r>
        <w:rPr>
          <w:rFonts w:ascii="Arial" w:hAnsi="Arial" w:cs="Arial"/>
          <w:sz w:val="22"/>
          <w:szCs w:val="22"/>
          <w:lang w:val="en-US"/>
        </w:rPr>
        <w:t xml:space="preserve">. 285, 20181020. </w:t>
      </w:r>
      <w:bookmarkEnd w:id="1"/>
      <w:r>
        <w:rPr>
          <w:rFonts w:ascii="Arial" w:hAnsi="Arial" w:cs="Arial"/>
          <w:sz w:val="22"/>
          <w:szCs w:val="22"/>
          <w:lang w:val="en-US"/>
        </w:rPr>
        <w:fldChar w:fldCharType="begin"/>
      </w:r>
      <w:r>
        <w:rPr>
          <w:rFonts w:ascii="Arial" w:hAnsi="Arial" w:cs="Arial"/>
          <w:sz w:val="22"/>
          <w:szCs w:val="22"/>
          <w:lang w:val="en-US"/>
        </w:rPr>
        <w:instrText xml:space="preserve">HYPERLINK "https://doi.org/10.1098/rspb.2018.1020"</w:instrText>
      </w:r>
      <w:r>
        <w:rPr>
          <w:rFonts w:ascii="Arial" w:hAnsi="Arial" w:cs="Arial"/>
          <w:sz w:val="22"/>
          <w:szCs w:val="22"/>
          <w:lang w:val="en-US"/>
        </w:rPr>
        <w:fldChar w:fldCharType="separate"/>
      </w:r>
      <w:r>
        <w:rPr>
          <w:rStyle w:val="12"/>
          <w:rFonts w:ascii="Arial" w:hAnsi="Arial" w:cs="Arial"/>
          <w:color w:val="auto"/>
          <w:sz w:val="22"/>
          <w:szCs w:val="22"/>
          <w:u w:val="none"/>
          <w:lang w:val="fr-FR"/>
        </w:rPr>
        <w:t>https://doi.org/10.1098/rspb.2018.1020</w:t>
      </w:r>
      <w:r>
        <w:rPr>
          <w:rFonts w:ascii="Arial" w:hAnsi="Arial" w:cs="Arial"/>
          <w:sz w:val="22"/>
          <w:szCs w:val="22"/>
          <w:lang w:val="en-US"/>
        </w:rPr>
        <w:fldChar w:fldCharType="end"/>
      </w:r>
      <w:r>
        <w:rPr>
          <w:rFonts w:ascii="Arial" w:hAnsi="Arial" w:cs="Arial"/>
          <w:sz w:val="22"/>
          <w:szCs w:val="22"/>
          <w:lang w:val="fr-FR"/>
        </w:rPr>
        <w:t>.</w:t>
      </w:r>
    </w:p>
    <w:p w14:paraId="6165C647">
      <w:pPr>
        <w:tabs>
          <w:tab w:val="left" w:pos="426"/>
        </w:tabs>
        <w:spacing w:line="480" w:lineRule="auto"/>
        <w:ind w:left="709" w:hanging="709"/>
        <w:rPr>
          <w:rFonts w:ascii="Arial" w:hAnsi="Arial" w:cs="Arial"/>
          <w:sz w:val="22"/>
          <w:szCs w:val="22"/>
          <w:lang w:val="en-US"/>
        </w:rPr>
      </w:pPr>
      <w:r>
        <w:rPr>
          <w:rFonts w:ascii="Arial" w:hAnsi="Arial" w:cs="Arial"/>
          <w:sz w:val="22"/>
          <w:szCs w:val="22"/>
          <w:lang w:val="fr-FR"/>
        </w:rPr>
        <w:t xml:space="preserve">Tipple, B. J., Meyers, S. R. Pagani, M., 2010. </w:t>
      </w:r>
      <w:r>
        <w:rPr>
          <w:rFonts w:ascii="Arial" w:hAnsi="Arial" w:cs="Arial"/>
          <w:sz w:val="22"/>
          <w:szCs w:val="22"/>
          <w:lang w:val="en-US"/>
        </w:rPr>
        <w:t xml:space="preserve">Carbon isotope ratio of Cenozoic CO2: a comparative evaluation of available geochemical proxies. </w:t>
      </w:r>
      <w:r>
        <w:rPr>
          <w:rFonts w:ascii="Arial" w:hAnsi="Arial" w:cs="Arial"/>
          <w:i/>
          <w:iCs/>
          <w:sz w:val="22"/>
          <w:szCs w:val="22"/>
          <w:lang w:val="en-US"/>
        </w:rPr>
        <w:t>Paleoceanography</w:t>
      </w:r>
      <w:r>
        <w:rPr>
          <w:rFonts w:ascii="Arial" w:hAnsi="Arial" w:cs="Arial"/>
          <w:sz w:val="22"/>
          <w:szCs w:val="22"/>
          <w:lang w:val="en-US"/>
        </w:rPr>
        <w:t>. 25. https://doi.org/10.1029/2009PA001851.</w:t>
      </w:r>
    </w:p>
    <w:p w14:paraId="20D2E384">
      <w:pPr>
        <w:tabs>
          <w:tab w:val="left" w:pos="426"/>
        </w:tabs>
        <w:spacing w:line="480" w:lineRule="auto"/>
        <w:ind w:left="709" w:hanging="709"/>
        <w:rPr>
          <w:rFonts w:ascii="Arial" w:hAnsi="Arial" w:cs="Arial"/>
          <w:sz w:val="22"/>
          <w:szCs w:val="22"/>
          <w:lang w:val="de-DE"/>
        </w:rPr>
      </w:pPr>
      <w:r>
        <w:rPr>
          <w:rFonts w:ascii="Arial" w:hAnsi="Arial" w:cs="Arial"/>
          <w:sz w:val="22"/>
          <w:szCs w:val="22"/>
          <w:lang w:val="en-US"/>
        </w:rPr>
        <w:t xml:space="preserve">Tornero, C., Bălăşescu, A., Ughetto-Monfrin, J., Voinea, V. Balasse, M., 2013. Seasonality and season of birth in early Eneolithic sheep from Cheia (Romania): methodological advances and implications for animal economy. </w:t>
      </w:r>
      <w:r>
        <w:rPr>
          <w:rFonts w:ascii="Arial" w:hAnsi="Arial" w:cs="Arial"/>
          <w:i/>
          <w:iCs/>
          <w:sz w:val="22"/>
          <w:szCs w:val="22"/>
          <w:lang w:val="en-US"/>
        </w:rPr>
        <w:t>Journal of Archaeological Science</w:t>
      </w:r>
      <w:r>
        <w:rPr>
          <w:rFonts w:ascii="Arial" w:hAnsi="Arial" w:cs="Arial"/>
          <w:sz w:val="22"/>
          <w:szCs w:val="22"/>
          <w:lang w:val="en-US"/>
        </w:rPr>
        <w:t xml:space="preserve">. </w:t>
      </w:r>
      <w:r>
        <w:rPr>
          <w:rFonts w:ascii="Arial" w:hAnsi="Arial" w:cs="Arial"/>
          <w:sz w:val="22"/>
          <w:szCs w:val="22"/>
          <w:lang w:val="de-DE"/>
        </w:rPr>
        <w:t>40, 4039–4055. https://doi.org/10.1016/j.jas.2013.05.013.</w:t>
      </w:r>
    </w:p>
    <w:p w14:paraId="556EFF04">
      <w:pPr>
        <w:tabs>
          <w:tab w:val="left" w:pos="426"/>
        </w:tabs>
        <w:spacing w:line="480" w:lineRule="auto"/>
        <w:ind w:left="709" w:hanging="709"/>
        <w:rPr>
          <w:rFonts w:ascii="Arial" w:hAnsi="Arial" w:eastAsia="Times New Roman" w:cs="Arial"/>
          <w:sz w:val="22"/>
          <w:szCs w:val="22"/>
          <w:shd w:val="clear" w:color="auto" w:fill="FFFFFF"/>
          <w:lang w:val="en-US"/>
        </w:rPr>
      </w:pPr>
      <w:r>
        <w:rPr>
          <w:rFonts w:ascii="Arial" w:hAnsi="Arial" w:eastAsia="Times New Roman" w:cs="Arial"/>
          <w:sz w:val="22"/>
          <w:szCs w:val="22"/>
          <w:shd w:val="clear" w:color="auto" w:fill="FFFFFF"/>
          <w:lang w:val="de-DE"/>
        </w:rPr>
        <w:t xml:space="preserve">Van der Hammen, T., Hooghiemstra, H., 2000. </w:t>
      </w:r>
      <w:r>
        <w:rPr>
          <w:rFonts w:ascii="Arial" w:hAnsi="Arial" w:eastAsia="Times New Roman" w:cs="Arial"/>
          <w:sz w:val="22"/>
          <w:szCs w:val="22"/>
          <w:shd w:val="clear" w:color="auto" w:fill="FFFFFF"/>
          <w:lang w:val="en-US"/>
        </w:rPr>
        <w:t>Neogene and Quaternary history of vegetation, climate, and plant diversity in Amazonia. </w:t>
      </w:r>
      <w:r>
        <w:rPr>
          <w:rFonts w:ascii="Arial" w:hAnsi="Arial" w:eastAsia="Times New Roman" w:cs="Arial"/>
          <w:i/>
          <w:iCs/>
          <w:sz w:val="22"/>
          <w:szCs w:val="22"/>
          <w:shd w:val="clear" w:color="auto" w:fill="FFFFFF"/>
          <w:lang w:val="en-US"/>
        </w:rPr>
        <w:t>Quaternary Science Reviews</w:t>
      </w:r>
      <w:r>
        <w:rPr>
          <w:rFonts w:ascii="Arial" w:hAnsi="Arial" w:eastAsia="Times New Roman" w:cs="Arial"/>
          <w:sz w:val="22"/>
          <w:szCs w:val="22"/>
          <w:shd w:val="clear" w:color="auto" w:fill="FFFFFF"/>
          <w:lang w:val="en-US"/>
        </w:rPr>
        <w:t xml:space="preserve">. 19, 725–742. </w:t>
      </w:r>
      <w:r>
        <w:fldChar w:fldCharType="begin"/>
      </w:r>
      <w:r>
        <w:instrText xml:space="preserve"> HYPERLINK "https://doi.org/10.1016/S0277-3791(99)00024-4" </w:instrText>
      </w:r>
      <w:r>
        <w:fldChar w:fldCharType="separate"/>
      </w:r>
      <w:r>
        <w:rPr>
          <w:rStyle w:val="12"/>
          <w:rFonts w:ascii="Arial" w:hAnsi="Arial" w:eastAsia="Times New Roman" w:cs="Arial"/>
          <w:color w:val="auto"/>
          <w:sz w:val="22"/>
          <w:szCs w:val="22"/>
          <w:u w:val="none"/>
          <w:shd w:val="clear" w:color="auto" w:fill="FFFFFF"/>
          <w:lang w:val="en-US"/>
        </w:rPr>
        <w:t>https://doi.org/10.1016/S0277-3791(99)00024-4</w:t>
      </w:r>
      <w:r>
        <w:rPr>
          <w:rStyle w:val="12"/>
          <w:rFonts w:ascii="Arial" w:hAnsi="Arial" w:eastAsia="Times New Roman" w:cs="Arial"/>
          <w:color w:val="auto"/>
          <w:sz w:val="22"/>
          <w:szCs w:val="22"/>
          <w:u w:val="none"/>
          <w:shd w:val="clear" w:color="auto" w:fill="FFFFFF"/>
          <w:lang w:val="en-US"/>
        </w:rPr>
        <w:fldChar w:fldCharType="end"/>
      </w:r>
      <w:r>
        <w:rPr>
          <w:rFonts w:ascii="Arial" w:hAnsi="Arial" w:eastAsia="Times New Roman" w:cs="Arial"/>
          <w:sz w:val="22"/>
          <w:szCs w:val="22"/>
          <w:shd w:val="clear" w:color="auto" w:fill="FFFFFF"/>
          <w:lang w:val="en-US"/>
        </w:rPr>
        <w:t>.</w:t>
      </w:r>
    </w:p>
    <w:p w14:paraId="1E3A21E9">
      <w:pPr>
        <w:tabs>
          <w:tab w:val="left" w:pos="426"/>
        </w:tabs>
        <w:spacing w:line="480" w:lineRule="auto"/>
        <w:ind w:left="709" w:hanging="709"/>
        <w:rPr>
          <w:rFonts w:ascii="Arial" w:hAnsi="Arial" w:cs="Arial"/>
          <w:sz w:val="22"/>
          <w:szCs w:val="22"/>
          <w:lang w:val="de-DE"/>
        </w:rPr>
      </w:pPr>
      <w:r>
        <w:rPr>
          <w:rFonts w:ascii="Arial" w:hAnsi="Arial" w:cs="Arial"/>
          <w:sz w:val="22"/>
          <w:szCs w:val="22"/>
          <w:lang w:val="en-US"/>
        </w:rPr>
        <w:t>Vuille, M., Bradley, R. S., Keimig, F., 2000. Climate Variability in the Andes of Ecuador and its Relation to Tropical Pacific and Atlantic Sea Surface Temperature Anomalies.</w:t>
      </w:r>
      <w:r>
        <w:rPr>
          <w:rFonts w:ascii="Arial" w:hAnsi="Arial" w:cs="Arial"/>
          <w:sz w:val="22"/>
          <w:szCs w:val="22"/>
          <w:lang w:val="de-DE"/>
        </w:rPr>
        <w:t xml:space="preserve"> </w:t>
      </w:r>
      <w:r>
        <w:rPr>
          <w:rFonts w:ascii="Arial" w:hAnsi="Arial" w:cs="Arial"/>
          <w:i/>
          <w:iCs/>
          <w:sz w:val="22"/>
          <w:szCs w:val="22"/>
          <w:lang w:val="de-DE"/>
        </w:rPr>
        <w:t>The Journal of Climate</w:t>
      </w:r>
      <w:r>
        <w:rPr>
          <w:rFonts w:ascii="Arial" w:hAnsi="Arial" w:cs="Arial"/>
          <w:sz w:val="22"/>
          <w:szCs w:val="22"/>
          <w:lang w:val="de-DE"/>
        </w:rPr>
        <w:t>. 13, 2520–2535. https://doi.org/10.1175/1520-0442(2000)013&lt;2520:CVITAO&gt;2.0.CO;2.</w:t>
      </w:r>
    </w:p>
    <w:p w14:paraId="3E7A4367">
      <w:pPr>
        <w:tabs>
          <w:tab w:val="left" w:pos="426"/>
        </w:tabs>
        <w:spacing w:line="480" w:lineRule="auto"/>
        <w:ind w:left="709" w:hanging="709"/>
        <w:rPr>
          <w:rFonts w:ascii="Arial" w:hAnsi="Arial" w:eastAsia="Times New Roman" w:cs="Arial"/>
          <w:sz w:val="22"/>
          <w:szCs w:val="22"/>
          <w:lang w:val="en-US"/>
        </w:rPr>
      </w:pPr>
      <w:r>
        <w:rPr>
          <w:rFonts w:ascii="Arial" w:hAnsi="Arial" w:eastAsia="Times New Roman" w:cs="Arial"/>
          <w:sz w:val="22"/>
          <w:szCs w:val="22"/>
          <w:shd w:val="clear" w:color="auto" w:fill="FFFFFF"/>
          <w:lang w:val="en-US"/>
        </w:rPr>
        <w:t>Xafis, A., Nagel, D., Bastl, K., 2017. Which tooth to sample? A methodological study of the utility of premolar/non-carnassial teeth in the microwear analysis of mammals. </w:t>
      </w:r>
      <w:r>
        <w:rPr>
          <w:rFonts w:ascii="Arial" w:hAnsi="Arial" w:cs="Arial"/>
          <w:i/>
          <w:iCs/>
          <w:sz w:val="22"/>
          <w:szCs w:val="22"/>
          <w:lang w:val="en-US"/>
        </w:rPr>
        <w:t>Palaeogeography Palaeoclimatolology Palaeoecology</w:t>
      </w:r>
      <w:r>
        <w:rPr>
          <w:rFonts w:ascii="Arial" w:hAnsi="Arial" w:cs="Arial"/>
          <w:sz w:val="22"/>
          <w:szCs w:val="22"/>
          <w:lang w:val="en-US"/>
        </w:rPr>
        <w:t xml:space="preserve">.  </w:t>
      </w:r>
      <w:r>
        <w:rPr>
          <w:rFonts w:ascii="Arial" w:hAnsi="Arial" w:eastAsia="Times New Roman" w:cs="Arial"/>
          <w:sz w:val="22"/>
          <w:szCs w:val="22"/>
          <w:shd w:val="clear" w:color="auto" w:fill="FFFFFF"/>
          <w:lang w:val="en-US"/>
        </w:rPr>
        <w:t>487, 229–240. https://doi.org/10.1016/j.palaeo.2017.09.003.</w:t>
      </w:r>
    </w:p>
    <w:p w14:paraId="28367D02">
      <w:pPr>
        <w:pStyle w:val="5"/>
        <w:spacing w:line="480" w:lineRule="auto"/>
        <w:rPr>
          <w:rFonts w:cs="Arial"/>
          <w:b/>
          <w:bCs/>
          <w:i w:val="0"/>
          <w:iCs w:val="0"/>
          <w:color w:val="auto"/>
          <w:sz w:val="22"/>
          <w:szCs w:val="22"/>
          <w:lang w:val="en-US"/>
        </w:rPr>
      </w:pPr>
    </w:p>
    <w:p w14:paraId="3CC6423D">
      <w:pPr>
        <w:pStyle w:val="5"/>
        <w:spacing w:line="480" w:lineRule="auto"/>
        <w:rPr>
          <w:rFonts w:cs="Arial"/>
          <w:b/>
          <w:bCs/>
          <w:i w:val="0"/>
          <w:iCs w:val="0"/>
          <w:color w:val="auto"/>
          <w:sz w:val="22"/>
          <w:szCs w:val="22"/>
          <w:lang w:val="en-US"/>
        </w:rPr>
      </w:pPr>
    </w:p>
    <w:p w14:paraId="27ECA87A">
      <w:pPr>
        <w:pStyle w:val="5"/>
        <w:spacing w:line="480" w:lineRule="auto"/>
        <w:rPr>
          <w:rFonts w:cs="Arial"/>
          <w:b/>
          <w:bCs/>
          <w:i w:val="0"/>
          <w:iCs w:val="0"/>
          <w:color w:val="auto"/>
          <w:sz w:val="22"/>
          <w:szCs w:val="22"/>
          <w:lang w:val="en-US"/>
        </w:rPr>
      </w:pPr>
    </w:p>
    <w:p w14:paraId="5DE9ACD7">
      <w:pPr>
        <w:pStyle w:val="5"/>
        <w:spacing w:line="480" w:lineRule="auto"/>
        <w:rPr>
          <w:rFonts w:cs="Arial"/>
          <w:b/>
          <w:bCs/>
          <w:i w:val="0"/>
          <w:iCs w:val="0"/>
          <w:color w:val="auto"/>
          <w:sz w:val="22"/>
          <w:szCs w:val="22"/>
          <w:lang w:val="en-US"/>
        </w:rPr>
      </w:pPr>
    </w:p>
    <w:p w14:paraId="26645FDA">
      <w:pPr>
        <w:pStyle w:val="5"/>
        <w:spacing w:line="480" w:lineRule="auto"/>
        <w:rPr>
          <w:rFonts w:cs="Arial"/>
          <w:b/>
          <w:bCs/>
          <w:i w:val="0"/>
          <w:iCs w:val="0"/>
          <w:color w:val="auto"/>
          <w:sz w:val="22"/>
          <w:szCs w:val="22"/>
          <w:lang w:val="en-US"/>
        </w:rPr>
      </w:pPr>
    </w:p>
    <w:p w14:paraId="45DECF1D">
      <w:pPr>
        <w:pStyle w:val="5"/>
        <w:spacing w:line="480" w:lineRule="auto"/>
        <w:rPr>
          <w:rFonts w:cs="Arial"/>
          <w:b/>
          <w:bCs/>
          <w:i w:val="0"/>
          <w:iCs w:val="0"/>
          <w:color w:val="auto"/>
          <w:sz w:val="22"/>
          <w:szCs w:val="22"/>
          <w:lang w:val="en-US"/>
        </w:rPr>
      </w:pPr>
    </w:p>
    <w:p w14:paraId="67388338">
      <w:pPr>
        <w:pStyle w:val="5"/>
        <w:spacing w:line="480" w:lineRule="auto"/>
        <w:rPr>
          <w:rFonts w:cs="Arial"/>
          <w:b/>
          <w:bCs/>
          <w:i w:val="0"/>
          <w:iCs w:val="0"/>
          <w:color w:val="auto"/>
          <w:sz w:val="22"/>
          <w:szCs w:val="22"/>
          <w:lang w:val="en-US"/>
        </w:rPr>
      </w:pPr>
    </w:p>
    <w:p w14:paraId="0F1BD03F">
      <w:pPr>
        <w:pStyle w:val="5"/>
        <w:spacing w:line="480" w:lineRule="auto"/>
        <w:rPr>
          <w:rFonts w:cs="Arial"/>
          <w:b/>
          <w:bCs/>
          <w:i w:val="0"/>
          <w:iCs w:val="0"/>
          <w:color w:val="auto"/>
          <w:sz w:val="22"/>
          <w:szCs w:val="22"/>
          <w:lang w:val="en-US"/>
        </w:rPr>
      </w:pPr>
    </w:p>
    <w:p w14:paraId="6D629B6A">
      <w:pPr>
        <w:pStyle w:val="5"/>
        <w:spacing w:line="480" w:lineRule="auto"/>
        <w:rPr>
          <w:rFonts w:cs="Arial"/>
          <w:b/>
          <w:bCs/>
          <w:i w:val="0"/>
          <w:iCs w:val="0"/>
          <w:color w:val="auto"/>
          <w:sz w:val="22"/>
          <w:szCs w:val="22"/>
          <w:lang w:val="en-US"/>
        </w:rPr>
      </w:pPr>
    </w:p>
    <w:p w14:paraId="47E96778">
      <w:pPr>
        <w:pStyle w:val="5"/>
        <w:spacing w:line="480" w:lineRule="auto"/>
        <w:rPr>
          <w:rFonts w:cs="Arial"/>
          <w:b/>
          <w:bCs/>
          <w:i w:val="0"/>
          <w:iCs w:val="0"/>
          <w:color w:val="auto"/>
          <w:sz w:val="22"/>
          <w:szCs w:val="22"/>
          <w:lang w:val="en-US"/>
        </w:rPr>
      </w:pPr>
    </w:p>
    <w:p w14:paraId="76FC73DD">
      <w:pPr>
        <w:pStyle w:val="5"/>
        <w:spacing w:line="480" w:lineRule="auto"/>
        <w:rPr>
          <w:rFonts w:cs="Arial"/>
          <w:b/>
          <w:bCs/>
          <w:i w:val="0"/>
          <w:iCs w:val="0"/>
          <w:color w:val="auto"/>
          <w:sz w:val="22"/>
          <w:szCs w:val="22"/>
          <w:lang w:val="en-US"/>
        </w:rPr>
      </w:pPr>
    </w:p>
    <w:p w14:paraId="279237F8">
      <w:pPr>
        <w:pStyle w:val="5"/>
        <w:spacing w:line="480" w:lineRule="auto"/>
        <w:rPr>
          <w:rFonts w:cs="Arial"/>
          <w:b/>
          <w:bCs/>
          <w:i w:val="0"/>
          <w:iCs w:val="0"/>
          <w:color w:val="auto"/>
          <w:sz w:val="22"/>
          <w:szCs w:val="22"/>
          <w:lang w:val="en-US"/>
        </w:rPr>
      </w:pPr>
    </w:p>
    <w:p w14:paraId="18DF0B17">
      <w:pPr>
        <w:pStyle w:val="5"/>
        <w:spacing w:line="480" w:lineRule="auto"/>
        <w:rPr>
          <w:rFonts w:cs="Arial"/>
          <w:b/>
          <w:bCs/>
          <w:i w:val="0"/>
          <w:iCs w:val="0"/>
          <w:color w:val="auto"/>
          <w:sz w:val="22"/>
          <w:szCs w:val="22"/>
          <w:lang w:val="en-US"/>
        </w:rPr>
      </w:pPr>
    </w:p>
    <w:p w14:paraId="3C6A85DB">
      <w:pPr>
        <w:pStyle w:val="5"/>
        <w:spacing w:line="480" w:lineRule="auto"/>
        <w:rPr>
          <w:rFonts w:cs="Arial"/>
          <w:i w:val="0"/>
          <w:iCs w:val="0"/>
          <w:color w:val="auto"/>
          <w:sz w:val="22"/>
          <w:szCs w:val="22"/>
          <w:lang w:val="en-US"/>
        </w:rPr>
      </w:pPr>
      <w:r>
        <w:rPr>
          <w:rFonts w:cs="Arial"/>
          <w:b/>
          <w:bCs/>
          <w:i w:val="0"/>
          <w:iCs w:val="0"/>
          <w:color w:val="auto"/>
          <w:sz w:val="22"/>
          <w:szCs w:val="22"/>
          <w:lang w:val="en-US"/>
        </w:rPr>
        <w:t>Figure 1</w:t>
      </w:r>
      <w:r>
        <w:rPr>
          <w:rFonts w:cs="Arial"/>
          <w:i w:val="0"/>
          <w:iCs w:val="0"/>
          <w:color w:val="auto"/>
          <w:sz w:val="22"/>
          <w:szCs w:val="22"/>
          <w:lang w:val="en-US"/>
        </w:rPr>
        <w:t xml:space="preserve">. Geographic distribution of analyzed gomphotheres in Ecuador, indicating the locations of fossil sites and the distribution of modern vegetation types (Ministerio de Ambiente del Ecuador, 2013). </w:t>
      </w:r>
    </w:p>
    <w:p w14:paraId="5C092F23">
      <w:pPr>
        <w:ind w:left="708" w:hanging="708"/>
        <w:rPr>
          <w:lang w:val="en-US"/>
        </w:rPr>
      </w:pPr>
      <w:r>
        <w:rPr>
          <w:lang w:val="en-US"/>
        </w:rPr>
        <w:drawing>
          <wp:inline distT="0" distB="0" distL="0" distR="0">
            <wp:extent cx="5396230" cy="4408805"/>
            <wp:effectExtent l="0" t="0" r="1270" b="0"/>
            <wp:docPr id="1406912969"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12969" name="Imagen 1" descr="Mapa&#10;&#10;El contenido generado por IA puede ser incorrecto."/>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396230" cy="4408805"/>
                    </a:xfrm>
                    <a:prstGeom prst="rect">
                      <a:avLst/>
                    </a:prstGeom>
                  </pic:spPr>
                </pic:pic>
              </a:graphicData>
            </a:graphic>
          </wp:inline>
        </w:drawing>
      </w:r>
    </w:p>
    <w:p w14:paraId="3C3657DF">
      <w:pPr>
        <w:rPr>
          <w:lang w:val="en-US"/>
        </w:rPr>
      </w:pPr>
    </w:p>
    <w:p w14:paraId="250DF5FC">
      <w:pPr>
        <w:rPr>
          <w:lang w:val="en-US"/>
        </w:rPr>
      </w:pPr>
    </w:p>
    <w:p w14:paraId="2CF15830">
      <w:pPr>
        <w:rPr>
          <w:lang w:val="en-US"/>
        </w:rPr>
      </w:pPr>
    </w:p>
    <w:p w14:paraId="791BB9FF">
      <w:pPr>
        <w:rPr>
          <w:lang w:val="en-US"/>
        </w:rPr>
      </w:pPr>
    </w:p>
    <w:p w14:paraId="2861F41A">
      <w:pPr>
        <w:rPr>
          <w:lang w:val="en-US"/>
        </w:rPr>
      </w:pPr>
    </w:p>
    <w:p w14:paraId="7E6E5ADE">
      <w:pPr>
        <w:rPr>
          <w:lang w:val="en-US"/>
        </w:rPr>
      </w:pPr>
    </w:p>
    <w:p w14:paraId="3E612164">
      <w:pPr>
        <w:rPr>
          <w:lang w:val="en-US"/>
        </w:rPr>
      </w:pPr>
    </w:p>
    <w:p w14:paraId="639415CD">
      <w:pPr>
        <w:rPr>
          <w:lang w:val="en-US"/>
        </w:rPr>
      </w:pPr>
    </w:p>
    <w:p w14:paraId="22861165">
      <w:pPr>
        <w:rPr>
          <w:lang w:val="en-US"/>
        </w:rPr>
      </w:pPr>
    </w:p>
    <w:p w14:paraId="5F61C523">
      <w:pPr>
        <w:rPr>
          <w:lang w:val="en-US"/>
        </w:rPr>
      </w:pPr>
    </w:p>
    <w:p w14:paraId="324AA6C7">
      <w:pPr>
        <w:rPr>
          <w:lang w:val="en-US"/>
        </w:rPr>
      </w:pPr>
    </w:p>
    <w:p w14:paraId="41B7E25C">
      <w:pPr>
        <w:rPr>
          <w:lang w:val="en-US"/>
        </w:rPr>
      </w:pPr>
    </w:p>
    <w:p w14:paraId="62A63433">
      <w:pPr>
        <w:rPr>
          <w:lang w:val="en-US"/>
        </w:rPr>
      </w:pPr>
    </w:p>
    <w:p w14:paraId="71460044">
      <w:pPr>
        <w:rPr>
          <w:lang w:val="en-US"/>
        </w:rPr>
      </w:pPr>
    </w:p>
    <w:p w14:paraId="7FF759F1">
      <w:pPr>
        <w:rPr>
          <w:lang w:val="en-US"/>
        </w:rPr>
      </w:pPr>
    </w:p>
    <w:p w14:paraId="41929ACC">
      <w:pPr>
        <w:rPr>
          <w:lang w:val="en-US"/>
        </w:rPr>
      </w:pPr>
    </w:p>
    <w:p w14:paraId="7449A7E6">
      <w:pPr>
        <w:rPr>
          <w:lang w:val="en-US"/>
        </w:rPr>
      </w:pPr>
    </w:p>
    <w:p w14:paraId="045B9E93">
      <w:pPr>
        <w:spacing w:line="480" w:lineRule="auto"/>
        <w:rPr>
          <w:rFonts w:ascii="Arial" w:hAnsi="Arial" w:cs="Arial"/>
          <w:sz w:val="22"/>
          <w:szCs w:val="22"/>
          <w:lang w:val="en-US"/>
        </w:rPr>
      </w:pPr>
      <w:r>
        <w:rPr>
          <w:b/>
          <w:bCs/>
          <w:lang w:val="en-US"/>
        </w:rPr>
        <w:t>Figure 2</w:t>
      </w:r>
      <w:r>
        <w:rPr>
          <w:lang w:val="en-US"/>
        </w:rPr>
        <w:t xml:space="preserve">. </w:t>
      </w:r>
      <w:r>
        <w:rPr>
          <w:rFonts w:ascii="Arial" w:hAnsi="Arial" w:cs="Arial"/>
          <w:sz w:val="22"/>
          <w:szCs w:val="22"/>
          <w:lang w:val="en-US"/>
        </w:rPr>
        <w:t xml:space="preserve">Bioapatite mean </w:t>
      </w:r>
      <w:r>
        <w:rPr>
          <w:rFonts w:ascii="Arial" w:hAnsi="Arial" w:cs="Arial"/>
          <w:sz w:val="22"/>
          <w:szCs w:val="22"/>
        </w:rPr>
        <w:t>δ</w:t>
      </w:r>
      <w:r>
        <w:rPr>
          <w:rFonts w:ascii="Arial" w:hAnsi="Arial" w:cs="Arial"/>
          <w:sz w:val="22"/>
          <w:szCs w:val="22"/>
          <w:vertAlign w:val="superscript"/>
          <w:lang w:val="en-US"/>
        </w:rPr>
        <w:t>13</w:t>
      </w:r>
      <w:r>
        <w:rPr>
          <w:rFonts w:ascii="Arial" w:hAnsi="Arial" w:cs="Arial"/>
          <w:sz w:val="22"/>
          <w:szCs w:val="22"/>
          <w:lang w:val="en-US"/>
        </w:rPr>
        <w:t xml:space="preserve">C (‰, VPDB) and </w:t>
      </w:r>
      <w:r>
        <w:rPr>
          <w:rFonts w:ascii="Arial" w:hAnsi="Arial" w:cs="Arial"/>
          <w:sz w:val="22"/>
          <w:szCs w:val="22"/>
        </w:rPr>
        <w:t>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CO3</w:t>
      </w:r>
      <w:r>
        <w:rPr>
          <w:rFonts w:ascii="Arial" w:hAnsi="Arial" w:cs="Arial"/>
          <w:sz w:val="22"/>
          <w:szCs w:val="22"/>
          <w:lang w:val="en-US"/>
        </w:rPr>
        <w:t xml:space="preserve"> (‰, VSMOW) values ± 1 SD from molars of the gomphotheres from Ecuador. The distribution of the specimens can be observed, which are grouped in the different provinces of Ecuador.</w:t>
      </w:r>
    </w:p>
    <w:p w14:paraId="58FF9143">
      <w:pPr>
        <w:spacing w:line="480" w:lineRule="auto"/>
        <w:rPr>
          <w:rFonts w:ascii="Arial" w:hAnsi="Arial" w:cs="Arial"/>
          <w:sz w:val="22"/>
          <w:szCs w:val="22"/>
          <w:lang w:val="en-US"/>
        </w:rPr>
      </w:pPr>
      <w:r>
        <w:rPr>
          <w:rFonts w:ascii="Arial" w:hAnsi="Arial" w:cs="Arial"/>
          <w:sz w:val="22"/>
          <w:szCs w:val="22"/>
          <w:lang w:val="en-US"/>
        </w:rPr>
        <w:drawing>
          <wp:anchor distT="0" distB="0" distL="114300" distR="114300" simplePos="0" relativeHeight="251659264" behindDoc="1" locked="0" layoutInCell="1" allowOverlap="1">
            <wp:simplePos x="0" y="0"/>
            <wp:positionH relativeFrom="column">
              <wp:posOffset>0</wp:posOffset>
            </wp:positionH>
            <wp:positionV relativeFrom="paragraph">
              <wp:posOffset>320040</wp:posOffset>
            </wp:positionV>
            <wp:extent cx="5574030" cy="2846070"/>
            <wp:effectExtent l="0" t="0" r="1905" b="0"/>
            <wp:wrapNone/>
            <wp:docPr id="842369679" name="Imagen 1" descr="Gráfico, Gráfico de cajas y bigot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369679" name="Imagen 1" descr="Gráfico, Gráfico de cajas y bigotes&#10;&#10;El contenido generado por IA puede ser incorrecto."/>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584028" cy="2851153"/>
                    </a:xfrm>
                    <a:prstGeom prst="rect">
                      <a:avLst/>
                    </a:prstGeom>
                  </pic:spPr>
                </pic:pic>
              </a:graphicData>
            </a:graphic>
          </wp:anchor>
        </w:drawing>
      </w:r>
    </w:p>
    <w:p w14:paraId="15966786">
      <w:pPr>
        <w:spacing w:line="480" w:lineRule="auto"/>
        <w:rPr>
          <w:rFonts w:ascii="Arial" w:hAnsi="Arial" w:cs="Arial"/>
          <w:sz w:val="22"/>
          <w:szCs w:val="22"/>
          <w:lang w:val="en-US"/>
        </w:rPr>
      </w:pPr>
    </w:p>
    <w:p w14:paraId="691358EF">
      <w:pPr>
        <w:spacing w:line="480" w:lineRule="auto"/>
        <w:rPr>
          <w:rFonts w:ascii="Arial" w:hAnsi="Arial" w:cs="Arial"/>
          <w:sz w:val="22"/>
          <w:szCs w:val="22"/>
          <w:lang w:val="en-US"/>
        </w:rPr>
      </w:pPr>
    </w:p>
    <w:p w14:paraId="46FC7E13">
      <w:pPr>
        <w:spacing w:line="480" w:lineRule="auto"/>
        <w:rPr>
          <w:rFonts w:ascii="Arial" w:hAnsi="Arial" w:cs="Arial"/>
          <w:sz w:val="22"/>
          <w:szCs w:val="22"/>
          <w:lang w:val="en-US"/>
        </w:rPr>
      </w:pPr>
    </w:p>
    <w:p w14:paraId="6D374F8D">
      <w:pPr>
        <w:spacing w:line="480" w:lineRule="auto"/>
        <w:rPr>
          <w:rFonts w:ascii="Arial" w:hAnsi="Arial" w:cs="Arial"/>
          <w:sz w:val="22"/>
          <w:szCs w:val="22"/>
          <w:lang w:val="en-US"/>
        </w:rPr>
      </w:pPr>
    </w:p>
    <w:p w14:paraId="0EAD6566">
      <w:pPr>
        <w:spacing w:line="480" w:lineRule="auto"/>
        <w:rPr>
          <w:rFonts w:ascii="Arial" w:hAnsi="Arial" w:cs="Arial"/>
          <w:sz w:val="22"/>
          <w:szCs w:val="22"/>
          <w:lang w:val="en-US"/>
        </w:rPr>
      </w:pPr>
    </w:p>
    <w:p w14:paraId="01BC3CD2">
      <w:pPr>
        <w:spacing w:line="480" w:lineRule="auto"/>
        <w:rPr>
          <w:rFonts w:ascii="Arial" w:hAnsi="Arial" w:cs="Arial"/>
          <w:sz w:val="22"/>
          <w:szCs w:val="22"/>
          <w:lang w:val="en-US"/>
        </w:rPr>
      </w:pPr>
    </w:p>
    <w:p w14:paraId="237AD730">
      <w:pPr>
        <w:spacing w:line="480" w:lineRule="auto"/>
        <w:rPr>
          <w:rFonts w:ascii="Arial" w:hAnsi="Arial" w:cs="Arial"/>
          <w:sz w:val="22"/>
          <w:szCs w:val="22"/>
          <w:lang w:val="en-US"/>
        </w:rPr>
      </w:pPr>
    </w:p>
    <w:p w14:paraId="5CBCCB2B">
      <w:pPr>
        <w:spacing w:line="480" w:lineRule="auto"/>
        <w:rPr>
          <w:rFonts w:ascii="Arial" w:hAnsi="Arial" w:cs="Arial"/>
          <w:sz w:val="22"/>
          <w:szCs w:val="22"/>
          <w:lang w:val="en-US"/>
        </w:rPr>
      </w:pPr>
    </w:p>
    <w:p w14:paraId="752C44BC">
      <w:pPr>
        <w:spacing w:line="480" w:lineRule="auto"/>
        <w:rPr>
          <w:rFonts w:ascii="Arial" w:hAnsi="Arial" w:cs="Arial"/>
          <w:sz w:val="22"/>
          <w:szCs w:val="22"/>
          <w:lang w:val="en-US"/>
        </w:rPr>
      </w:pPr>
    </w:p>
    <w:p w14:paraId="7E814C74">
      <w:pPr>
        <w:spacing w:line="480" w:lineRule="auto"/>
        <w:rPr>
          <w:rFonts w:ascii="Arial" w:hAnsi="Arial" w:cs="Arial"/>
          <w:sz w:val="22"/>
          <w:szCs w:val="22"/>
          <w:lang w:val="en-US"/>
        </w:rPr>
      </w:pPr>
    </w:p>
    <w:p w14:paraId="756CDAFC">
      <w:pPr>
        <w:spacing w:line="480" w:lineRule="auto"/>
        <w:rPr>
          <w:rFonts w:ascii="Arial" w:hAnsi="Arial" w:cs="Arial"/>
          <w:sz w:val="22"/>
          <w:szCs w:val="22"/>
          <w:lang w:val="en-US"/>
        </w:rPr>
      </w:pPr>
    </w:p>
    <w:p w14:paraId="3954CB53">
      <w:pPr>
        <w:spacing w:line="480" w:lineRule="auto"/>
        <w:rPr>
          <w:rFonts w:ascii="Arial" w:hAnsi="Arial" w:cs="Arial"/>
          <w:sz w:val="22"/>
          <w:szCs w:val="22"/>
          <w:lang w:val="en-US"/>
        </w:rPr>
      </w:pPr>
    </w:p>
    <w:p w14:paraId="46434E9A">
      <w:pPr>
        <w:spacing w:line="480" w:lineRule="auto"/>
        <w:rPr>
          <w:rFonts w:ascii="Arial" w:hAnsi="Arial" w:cs="Arial"/>
          <w:sz w:val="22"/>
          <w:szCs w:val="22"/>
          <w:lang w:val="en-US"/>
        </w:rPr>
      </w:pPr>
    </w:p>
    <w:p w14:paraId="22352194">
      <w:pPr>
        <w:spacing w:line="480" w:lineRule="auto"/>
        <w:rPr>
          <w:rFonts w:ascii="Arial" w:hAnsi="Arial" w:cs="Arial"/>
          <w:sz w:val="22"/>
          <w:szCs w:val="22"/>
          <w:lang w:val="en-US"/>
        </w:rPr>
      </w:pPr>
    </w:p>
    <w:p w14:paraId="5FDF8774">
      <w:pPr>
        <w:spacing w:line="480" w:lineRule="auto"/>
        <w:rPr>
          <w:rFonts w:ascii="Arial" w:hAnsi="Arial" w:cs="Arial"/>
          <w:sz w:val="22"/>
          <w:szCs w:val="22"/>
          <w:lang w:val="en-US"/>
        </w:rPr>
      </w:pPr>
    </w:p>
    <w:p w14:paraId="670798AC">
      <w:pPr>
        <w:spacing w:line="480" w:lineRule="auto"/>
        <w:rPr>
          <w:rFonts w:ascii="Arial" w:hAnsi="Arial" w:cs="Arial"/>
          <w:sz w:val="22"/>
          <w:szCs w:val="22"/>
          <w:lang w:val="en-US"/>
        </w:rPr>
      </w:pPr>
    </w:p>
    <w:p w14:paraId="53E6157A">
      <w:pPr>
        <w:spacing w:line="480" w:lineRule="auto"/>
        <w:rPr>
          <w:rFonts w:ascii="Arial" w:hAnsi="Arial" w:cs="Arial"/>
          <w:sz w:val="22"/>
          <w:szCs w:val="22"/>
          <w:lang w:val="en-US"/>
        </w:rPr>
      </w:pPr>
    </w:p>
    <w:p w14:paraId="2E0BE31A">
      <w:pPr>
        <w:spacing w:line="480" w:lineRule="auto"/>
        <w:rPr>
          <w:rFonts w:ascii="Arial" w:hAnsi="Arial" w:cs="Arial"/>
          <w:sz w:val="22"/>
          <w:szCs w:val="22"/>
          <w:lang w:val="en-US"/>
        </w:rPr>
      </w:pPr>
    </w:p>
    <w:p w14:paraId="11544E56">
      <w:pPr>
        <w:spacing w:line="480" w:lineRule="auto"/>
        <w:rPr>
          <w:rFonts w:ascii="Arial" w:hAnsi="Arial" w:cs="Arial"/>
          <w:sz w:val="22"/>
          <w:szCs w:val="22"/>
          <w:lang w:val="en-US"/>
        </w:rPr>
      </w:pPr>
    </w:p>
    <w:p w14:paraId="3E1EC242">
      <w:pPr>
        <w:spacing w:line="480" w:lineRule="auto"/>
        <w:rPr>
          <w:rFonts w:ascii="Arial" w:hAnsi="Arial" w:cs="Arial"/>
          <w:sz w:val="22"/>
          <w:szCs w:val="22"/>
          <w:lang w:val="en-US"/>
        </w:rPr>
      </w:pPr>
    </w:p>
    <w:p w14:paraId="601604F7">
      <w:pPr>
        <w:spacing w:line="480" w:lineRule="auto"/>
        <w:rPr>
          <w:rFonts w:ascii="Arial" w:hAnsi="Arial" w:cs="Arial"/>
          <w:sz w:val="22"/>
          <w:szCs w:val="22"/>
          <w:lang w:val="en-US"/>
        </w:rPr>
      </w:pPr>
    </w:p>
    <w:p w14:paraId="7BE5AF07">
      <w:pPr>
        <w:spacing w:line="480" w:lineRule="auto"/>
        <w:rPr>
          <w:rFonts w:ascii="Arial" w:hAnsi="Arial" w:cs="Arial"/>
          <w:sz w:val="22"/>
          <w:szCs w:val="22"/>
          <w:lang w:val="en-US"/>
        </w:rPr>
      </w:pPr>
    </w:p>
    <w:p w14:paraId="2AB8B202">
      <w:pPr>
        <w:spacing w:line="480" w:lineRule="auto"/>
        <w:rPr>
          <w:rFonts w:ascii="Arial" w:hAnsi="Arial" w:cs="Arial"/>
          <w:sz w:val="22"/>
          <w:szCs w:val="22"/>
          <w:lang w:val="en-US"/>
        </w:rPr>
      </w:pPr>
    </w:p>
    <w:p w14:paraId="46557AC5">
      <w:pPr>
        <w:spacing w:line="480" w:lineRule="auto"/>
        <w:rPr>
          <w:rFonts w:ascii="Arial" w:hAnsi="Arial" w:cs="Arial"/>
          <w:sz w:val="22"/>
          <w:szCs w:val="22"/>
          <w:lang w:val="en-US"/>
        </w:rPr>
      </w:pPr>
      <w:r>
        <w:rPr>
          <w:rFonts w:ascii="Arial" w:hAnsi="Arial" w:cs="Arial"/>
          <w:b/>
          <w:bCs/>
          <w:sz w:val="22"/>
          <w:szCs w:val="22"/>
          <w:lang w:val="en-US"/>
        </w:rPr>
        <w:t xml:space="preserve">Figure 3. </w:t>
      </w:r>
      <w:r>
        <w:rPr>
          <w:rFonts w:ascii="Arial" w:hAnsi="Arial" w:cs="Arial"/>
          <w:sz w:val="22"/>
          <w:szCs w:val="22"/>
          <w:lang w:val="en-US"/>
        </w:rPr>
        <w:t>(a)</w:t>
      </w:r>
      <w:r>
        <w:rPr>
          <w:rFonts w:ascii="Arial" w:hAnsi="Arial" w:cs="Arial"/>
          <w:b/>
          <w:bCs/>
          <w:sz w:val="22"/>
          <w:szCs w:val="22"/>
          <w:lang w:val="en-US"/>
        </w:rPr>
        <w:t xml:space="preserve"> </w:t>
      </w:r>
      <w:r>
        <w:rPr>
          <w:rFonts w:ascii="Arial" w:hAnsi="Arial" w:cs="Arial"/>
          <w:sz w:val="22"/>
          <w:szCs w:val="22"/>
          <w:lang w:val="en-US"/>
        </w:rPr>
        <w:t>Correlation between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mw</w:t>
      </w:r>
      <w:r>
        <w:rPr>
          <w:rFonts w:ascii="Arial" w:hAnsi="Arial" w:cs="Arial"/>
          <w:sz w:val="22"/>
          <w:szCs w:val="22"/>
          <w:lang w:val="en-US"/>
        </w:rPr>
        <w:t xml:space="preserve"> (‰, V-SMOW) values ​​of the gomphotheres fossil enamel samples and the altitude of fossil localities (m). A negative trend is observed, indicating that δ</w:t>
      </w:r>
      <w:r>
        <w:rPr>
          <w:rFonts w:ascii="Arial" w:hAnsi="Arial" w:cs="Arial"/>
          <w:sz w:val="22"/>
          <w:szCs w:val="22"/>
          <w:vertAlign w:val="superscript"/>
          <w:lang w:val="en-US"/>
        </w:rPr>
        <w:t>18</w:t>
      </w:r>
      <w:r>
        <w:rPr>
          <w:rFonts w:ascii="Arial" w:hAnsi="Arial" w:cs="Arial"/>
          <w:sz w:val="22"/>
          <w:szCs w:val="22"/>
          <w:lang w:val="en-US"/>
        </w:rPr>
        <w:t>O</w:t>
      </w:r>
      <w:r>
        <w:rPr>
          <w:rFonts w:ascii="Arial" w:hAnsi="Arial" w:cs="Arial"/>
          <w:sz w:val="22"/>
          <w:szCs w:val="22"/>
          <w:vertAlign w:val="subscript"/>
          <w:lang w:val="en-US"/>
        </w:rPr>
        <w:t>mw</w:t>
      </w:r>
      <w:r>
        <w:rPr>
          <w:rFonts w:ascii="Arial" w:hAnsi="Arial" w:cs="Arial"/>
          <w:sz w:val="22"/>
          <w:szCs w:val="22"/>
          <w:lang w:val="en-US"/>
        </w:rPr>
        <w:t xml:space="preserve"> values ​​decrease with increasing altitude, which is consistent with the altitudinal effect on the isotopic composition of meteoric water. </w:t>
      </w:r>
    </w:p>
    <w:p w14:paraId="6636FE92">
      <w:pPr>
        <w:spacing w:line="480" w:lineRule="auto"/>
        <w:rPr>
          <w:rFonts w:ascii="Arial" w:hAnsi="Arial" w:cs="Arial"/>
          <w:sz w:val="22"/>
          <w:szCs w:val="22"/>
          <w:lang w:val="en-US"/>
        </w:rPr>
      </w:pPr>
      <w:r>
        <w:rPr>
          <w:rFonts w:ascii="Arial" w:hAnsi="Arial" w:cs="Arial"/>
          <w:sz w:val="22"/>
          <w:szCs w:val="22"/>
          <w:lang w:val="en-US"/>
        </w:rPr>
        <w:t>(b) Correlation between the δ</w:t>
      </w:r>
      <w:r>
        <w:rPr>
          <w:rFonts w:ascii="Arial" w:hAnsi="Arial" w:cs="Arial"/>
          <w:sz w:val="22"/>
          <w:szCs w:val="22"/>
          <w:vertAlign w:val="superscript"/>
          <w:lang w:val="en-US"/>
        </w:rPr>
        <w:t>18</w:t>
      </w:r>
      <w:r>
        <w:rPr>
          <w:rFonts w:ascii="Arial" w:hAnsi="Arial" w:cs="Arial"/>
          <w:sz w:val="22"/>
          <w:szCs w:val="22"/>
          <w:lang w:val="en-US"/>
        </w:rPr>
        <w:t>O (‰, V-SMOW) values ​​of modern waters and the altitude (m) of meteorological stations. A negative trend is observed, indicating that δ</w:t>
      </w:r>
      <w:r>
        <w:rPr>
          <w:rFonts w:ascii="Arial" w:hAnsi="Arial" w:cs="Arial"/>
          <w:sz w:val="22"/>
          <w:szCs w:val="22"/>
          <w:vertAlign w:val="superscript"/>
          <w:lang w:val="en-US"/>
        </w:rPr>
        <w:t>18</w:t>
      </w:r>
      <w:r>
        <w:rPr>
          <w:rFonts w:ascii="Arial" w:hAnsi="Arial" w:cs="Arial"/>
          <w:sz w:val="22"/>
          <w:szCs w:val="22"/>
          <w:lang w:val="en-US"/>
        </w:rPr>
        <w:t>O values ​​decrease with increasing altitude, consistent with the altitudinal effect on the isotopic composition of meteoric water.</w:t>
      </w:r>
    </w:p>
    <w:p w14:paraId="1BDFE3D7">
      <w:pPr>
        <w:spacing w:line="480" w:lineRule="auto"/>
        <w:rPr>
          <w:rFonts w:ascii="Arial" w:hAnsi="Arial" w:cs="Arial"/>
          <w:sz w:val="22"/>
          <w:szCs w:val="22"/>
          <w:lang w:val="en-US"/>
        </w:rPr>
      </w:pPr>
      <w:r>
        <w:rPr>
          <w:rFonts w:ascii="Arial" w:hAnsi="Arial" w:cs="Arial"/>
          <w:sz w:val="22"/>
          <w:szCs w:val="22"/>
          <w:lang w:val="en-US"/>
        </w:rPr>
        <w:drawing>
          <wp:anchor distT="0" distB="0" distL="114300" distR="114300" simplePos="0" relativeHeight="251660288" behindDoc="1" locked="0" layoutInCell="1" allowOverlap="1">
            <wp:simplePos x="0" y="0"/>
            <wp:positionH relativeFrom="column">
              <wp:posOffset>-1270</wp:posOffset>
            </wp:positionH>
            <wp:positionV relativeFrom="paragraph">
              <wp:posOffset>316230</wp:posOffset>
            </wp:positionV>
            <wp:extent cx="6257925" cy="2683510"/>
            <wp:effectExtent l="0" t="0" r="3175" b="0"/>
            <wp:wrapNone/>
            <wp:docPr id="234410499" name="Imagen 2" descr="Gráfico, Gráfico de dispers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410499" name="Imagen 2" descr="Gráfico, Gráfico de dispersión&#10;&#10;El contenido generado por IA puede ser incorrecto."/>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55865" cy="2725439"/>
                    </a:xfrm>
                    <a:prstGeom prst="rect">
                      <a:avLst/>
                    </a:prstGeom>
                  </pic:spPr>
                </pic:pic>
              </a:graphicData>
            </a:graphic>
          </wp:anchor>
        </w:drawing>
      </w:r>
    </w:p>
    <w:p w14:paraId="49327980">
      <w:pPr>
        <w:spacing w:line="480" w:lineRule="auto"/>
        <w:rPr>
          <w:rFonts w:ascii="Arial" w:hAnsi="Arial" w:cs="Arial"/>
          <w:sz w:val="22"/>
          <w:szCs w:val="22"/>
          <w:lang w:val="en-US"/>
        </w:rPr>
      </w:pPr>
    </w:p>
    <w:p w14:paraId="400FAE13">
      <w:pPr>
        <w:rPr>
          <w:lang w:val="en-US"/>
        </w:rPr>
      </w:pPr>
    </w:p>
    <w:p w14:paraId="037597DA">
      <w:pPr>
        <w:spacing w:line="480" w:lineRule="auto"/>
        <w:jc w:val="both"/>
        <w:rPr>
          <w:rFonts w:ascii="Arial" w:hAnsi="Arial" w:cs="Arial"/>
          <w:b/>
          <w:bCs/>
          <w:sz w:val="22"/>
          <w:szCs w:val="22"/>
          <w:lang w:val="en-US"/>
        </w:rPr>
      </w:pPr>
    </w:p>
    <w:p w14:paraId="33037068">
      <w:pPr>
        <w:spacing w:line="480" w:lineRule="auto"/>
        <w:jc w:val="both"/>
        <w:rPr>
          <w:rFonts w:ascii="Arial" w:hAnsi="Arial" w:cs="Arial"/>
          <w:b/>
          <w:bCs/>
          <w:sz w:val="22"/>
          <w:szCs w:val="22"/>
          <w:lang w:val="en-US"/>
        </w:rPr>
      </w:pPr>
    </w:p>
    <w:p w14:paraId="41984644">
      <w:pPr>
        <w:spacing w:line="480" w:lineRule="auto"/>
        <w:jc w:val="both"/>
        <w:rPr>
          <w:rFonts w:ascii="Arial" w:hAnsi="Arial" w:cs="Arial"/>
          <w:b/>
          <w:bCs/>
          <w:sz w:val="22"/>
          <w:szCs w:val="22"/>
          <w:lang w:val="en-US"/>
        </w:rPr>
      </w:pPr>
    </w:p>
    <w:p w14:paraId="282E5646">
      <w:pPr>
        <w:spacing w:line="480" w:lineRule="auto"/>
        <w:jc w:val="both"/>
        <w:rPr>
          <w:rFonts w:ascii="Arial" w:hAnsi="Arial" w:cs="Arial"/>
          <w:b/>
          <w:bCs/>
          <w:sz w:val="22"/>
          <w:szCs w:val="22"/>
          <w:lang w:val="en-US"/>
        </w:rPr>
      </w:pPr>
    </w:p>
    <w:p w14:paraId="484E9FF9">
      <w:pPr>
        <w:spacing w:line="480" w:lineRule="auto"/>
        <w:jc w:val="both"/>
        <w:rPr>
          <w:rFonts w:ascii="Arial" w:hAnsi="Arial" w:cs="Arial"/>
          <w:b/>
          <w:bCs/>
          <w:sz w:val="22"/>
          <w:szCs w:val="22"/>
          <w:lang w:val="en-US"/>
        </w:rPr>
      </w:pPr>
    </w:p>
    <w:p w14:paraId="6F1F8843">
      <w:pPr>
        <w:spacing w:line="480" w:lineRule="auto"/>
        <w:jc w:val="both"/>
        <w:rPr>
          <w:rFonts w:ascii="Arial" w:hAnsi="Arial" w:cs="Arial"/>
          <w:b/>
          <w:bCs/>
          <w:sz w:val="22"/>
          <w:szCs w:val="22"/>
          <w:lang w:val="en-US"/>
        </w:rPr>
      </w:pPr>
    </w:p>
    <w:p w14:paraId="3554EF3B">
      <w:pPr>
        <w:spacing w:line="480" w:lineRule="auto"/>
        <w:jc w:val="both"/>
        <w:rPr>
          <w:rFonts w:ascii="Arial" w:hAnsi="Arial" w:cs="Arial"/>
          <w:b/>
          <w:bCs/>
          <w:sz w:val="22"/>
          <w:szCs w:val="22"/>
          <w:lang w:val="en-US"/>
        </w:rPr>
      </w:pPr>
    </w:p>
    <w:p w14:paraId="4BEF1FDC">
      <w:pPr>
        <w:spacing w:line="480" w:lineRule="auto"/>
        <w:jc w:val="both"/>
        <w:rPr>
          <w:rFonts w:ascii="Arial" w:hAnsi="Arial" w:cs="Arial"/>
          <w:b/>
          <w:bCs/>
          <w:sz w:val="22"/>
          <w:szCs w:val="22"/>
          <w:lang w:val="en-US"/>
        </w:rPr>
      </w:pPr>
    </w:p>
    <w:p w14:paraId="460AEB55">
      <w:pPr>
        <w:spacing w:line="480" w:lineRule="auto"/>
        <w:jc w:val="both"/>
        <w:rPr>
          <w:rFonts w:ascii="Arial" w:hAnsi="Arial" w:cs="Arial"/>
          <w:b/>
          <w:bCs/>
          <w:sz w:val="22"/>
          <w:szCs w:val="22"/>
          <w:lang w:val="en-US"/>
        </w:rPr>
      </w:pPr>
    </w:p>
    <w:p w14:paraId="5F8228D6">
      <w:pPr>
        <w:spacing w:line="480" w:lineRule="auto"/>
        <w:jc w:val="both"/>
        <w:rPr>
          <w:rFonts w:ascii="Arial" w:hAnsi="Arial" w:cs="Arial"/>
          <w:b/>
          <w:bCs/>
          <w:sz w:val="22"/>
          <w:szCs w:val="22"/>
          <w:lang w:val="en-US"/>
        </w:rPr>
      </w:pPr>
    </w:p>
    <w:p w14:paraId="24797395">
      <w:pPr>
        <w:spacing w:line="480" w:lineRule="auto"/>
        <w:jc w:val="both"/>
        <w:rPr>
          <w:rFonts w:ascii="Arial" w:hAnsi="Arial" w:cs="Arial"/>
          <w:b/>
          <w:bCs/>
          <w:sz w:val="22"/>
          <w:szCs w:val="22"/>
          <w:lang w:val="en-US"/>
        </w:rPr>
      </w:pPr>
    </w:p>
    <w:p w14:paraId="5524D2A1">
      <w:pPr>
        <w:spacing w:line="480" w:lineRule="auto"/>
        <w:jc w:val="both"/>
        <w:rPr>
          <w:rFonts w:ascii="Arial" w:hAnsi="Arial" w:cs="Arial"/>
          <w:b/>
          <w:bCs/>
          <w:sz w:val="22"/>
          <w:szCs w:val="22"/>
          <w:lang w:val="en-US"/>
        </w:rPr>
      </w:pPr>
    </w:p>
    <w:p w14:paraId="155017EC">
      <w:pPr>
        <w:spacing w:line="480" w:lineRule="auto"/>
        <w:jc w:val="both"/>
        <w:rPr>
          <w:rFonts w:ascii="Arial" w:hAnsi="Arial" w:cs="Arial"/>
          <w:b/>
          <w:bCs/>
          <w:sz w:val="22"/>
          <w:szCs w:val="22"/>
          <w:lang w:val="en-US"/>
        </w:rPr>
      </w:pPr>
    </w:p>
    <w:p w14:paraId="786C59D2">
      <w:pPr>
        <w:spacing w:line="480" w:lineRule="auto"/>
        <w:jc w:val="both"/>
        <w:rPr>
          <w:rFonts w:ascii="Arial" w:hAnsi="Arial" w:cs="Arial"/>
          <w:b/>
          <w:bCs/>
          <w:sz w:val="22"/>
          <w:szCs w:val="22"/>
          <w:lang w:val="en-US"/>
        </w:rPr>
      </w:pPr>
    </w:p>
    <w:p w14:paraId="170BF144">
      <w:pPr>
        <w:spacing w:line="480" w:lineRule="auto"/>
        <w:jc w:val="both"/>
        <w:rPr>
          <w:rFonts w:ascii="Arial" w:hAnsi="Arial" w:cs="Arial"/>
          <w:b/>
          <w:bCs/>
          <w:sz w:val="22"/>
          <w:szCs w:val="22"/>
          <w:lang w:val="en-US"/>
        </w:rPr>
      </w:pPr>
    </w:p>
    <w:p w14:paraId="741D982C">
      <w:pPr>
        <w:spacing w:line="480" w:lineRule="auto"/>
        <w:jc w:val="both"/>
        <w:rPr>
          <w:rFonts w:ascii="Arial" w:hAnsi="Arial" w:cs="Arial"/>
          <w:b/>
          <w:bCs/>
          <w:sz w:val="22"/>
          <w:szCs w:val="22"/>
          <w:lang w:val="en-US"/>
        </w:rPr>
      </w:pPr>
    </w:p>
    <w:p w14:paraId="4029B92E">
      <w:pPr>
        <w:spacing w:line="480" w:lineRule="auto"/>
        <w:rPr>
          <w:rFonts w:ascii="Arial" w:hAnsi="Arial" w:cs="Arial"/>
          <w:sz w:val="22"/>
          <w:szCs w:val="22"/>
          <w:lang w:val="en-US"/>
        </w:rPr>
      </w:pPr>
      <w:r>
        <w:rPr>
          <w:rFonts w:ascii="Arial" w:hAnsi="Arial" w:cs="Arial"/>
          <w:b/>
          <w:bCs/>
          <w:sz w:val="22"/>
          <w:szCs w:val="22"/>
          <w:lang w:val="en-US"/>
        </w:rPr>
        <w:t>Figure 4</w:t>
      </w:r>
      <w:r>
        <w:rPr>
          <w:rFonts w:ascii="Arial" w:hAnsi="Arial" w:cs="Arial"/>
          <w:sz w:val="22"/>
          <w:szCs w:val="22"/>
          <w:lang w:val="en-US"/>
        </w:rPr>
        <w:t xml:space="preserve">. </w:t>
      </w:r>
      <w:r>
        <w:rPr>
          <w:rFonts w:ascii="Arial" w:hAnsi="Arial" w:cs="Arial"/>
          <w:sz w:val="22"/>
          <w:szCs w:val="22"/>
          <w:shd w:val="clear" w:color="auto" w:fill="FFFFFF"/>
          <w:lang w:val="en-US"/>
        </w:rPr>
        <w:t>Bivariate graph showing the mean counts of pits and scratches in gomphotheres. Error bars represent one standard deviation (±1 SD) for the fossil specimens. The unfilled ellipses indicate the 95% Gaussian confidence intervals around the centroids of extant browsers and grazers, following the dataset compiled by Solounias and Semprebon (2002).</w:t>
      </w:r>
    </w:p>
    <w:p w14:paraId="0ED5703F">
      <w:pPr>
        <w:spacing w:line="480" w:lineRule="auto"/>
        <w:jc w:val="both"/>
        <w:rPr>
          <w:rFonts w:ascii="Arial" w:hAnsi="Arial" w:cs="Arial"/>
          <w:sz w:val="22"/>
          <w:szCs w:val="22"/>
          <w:lang w:val="en-US"/>
        </w:rPr>
      </w:pPr>
      <w:r>
        <w:rPr>
          <w:rFonts w:ascii="Arial" w:hAnsi="Arial" w:cs="Arial"/>
          <w:sz w:val="22"/>
          <w:szCs w:val="22"/>
          <w:lang w:val="en-US"/>
        </w:rPr>
        <w:drawing>
          <wp:inline distT="0" distB="0" distL="0" distR="0">
            <wp:extent cx="5814060" cy="2994025"/>
            <wp:effectExtent l="0" t="0" r="0" b="3175"/>
            <wp:docPr id="286217317" name="Imagen 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217317" name="Imagen 2" descr="Diagrama&#10;&#10;El contenido generado por IA puede ser incorrecto."/>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53051" cy="3013998"/>
                    </a:xfrm>
                    <a:prstGeom prst="rect">
                      <a:avLst/>
                    </a:prstGeom>
                  </pic:spPr>
                </pic:pic>
              </a:graphicData>
            </a:graphic>
          </wp:inline>
        </w:drawing>
      </w:r>
      <w:r>
        <w:rPr>
          <w:rFonts w:ascii="Arial" w:hAnsi="Arial" w:cs="Arial"/>
          <w:sz w:val="22"/>
          <w:szCs w:val="22"/>
          <w:lang w:val="en-US"/>
        </w:rPr>
        <w:t xml:space="preserve"> </w:t>
      </w:r>
    </w:p>
    <w:p w14:paraId="6A8E905E">
      <w:pPr>
        <w:spacing w:line="480" w:lineRule="auto"/>
        <w:jc w:val="both"/>
        <w:rPr>
          <w:rFonts w:ascii="Arial" w:hAnsi="Arial" w:cs="Arial"/>
          <w:sz w:val="22"/>
          <w:szCs w:val="22"/>
          <w:lang w:val="en-US"/>
        </w:rPr>
      </w:pPr>
      <w:r>
        <w:rPr>
          <w:rFonts w:ascii="Arial" w:hAnsi="Arial" w:cs="Arial"/>
          <w:sz w:val="22"/>
          <w:szCs w:val="22"/>
          <w:lang w:val="en-US"/>
        </w:rPr>
        <w:t xml:space="preserve">  </w:t>
      </w:r>
      <w:r>
        <w:rPr>
          <w:rFonts w:ascii="Arial" w:hAnsi="Arial" w:cs="Arial"/>
          <w:sz w:val="22"/>
          <w:szCs w:val="22"/>
          <w:vertAlign w:val="subscript"/>
          <w:lang w:val="en-US"/>
        </w:rPr>
        <w:t xml:space="preserve"> </w:t>
      </w:r>
      <w:r>
        <w:rPr>
          <w:rFonts w:ascii="Arial" w:hAnsi="Arial" w:cs="Arial"/>
          <w:sz w:val="22"/>
          <w:szCs w:val="22"/>
          <w:lang w:val="en-US"/>
        </w:rPr>
        <w:t xml:space="preserve">       </w:t>
      </w:r>
    </w:p>
    <w:p w14:paraId="2E2801B5">
      <w:pPr>
        <w:spacing w:line="480" w:lineRule="auto"/>
        <w:jc w:val="both"/>
        <w:rPr>
          <w:rFonts w:ascii="Arial" w:hAnsi="Arial" w:cs="Arial"/>
          <w:b/>
          <w:bCs/>
          <w:sz w:val="22"/>
          <w:szCs w:val="22"/>
          <w:lang w:val="en-US"/>
        </w:rPr>
      </w:pPr>
    </w:p>
    <w:p w14:paraId="1F735F47">
      <w:pPr>
        <w:spacing w:line="480" w:lineRule="auto"/>
        <w:jc w:val="both"/>
        <w:rPr>
          <w:rFonts w:ascii="Arial" w:hAnsi="Arial" w:cs="Arial"/>
          <w:b/>
          <w:bCs/>
          <w:sz w:val="22"/>
          <w:szCs w:val="22"/>
          <w:lang w:val="en-US"/>
        </w:rPr>
      </w:pPr>
    </w:p>
    <w:p w14:paraId="2AEF0231">
      <w:pPr>
        <w:spacing w:line="480" w:lineRule="auto"/>
        <w:jc w:val="both"/>
        <w:rPr>
          <w:rFonts w:ascii="Arial" w:hAnsi="Arial" w:cs="Arial"/>
          <w:b/>
          <w:bCs/>
          <w:sz w:val="22"/>
          <w:szCs w:val="22"/>
          <w:lang w:val="en-US"/>
        </w:rPr>
      </w:pPr>
    </w:p>
    <w:p w14:paraId="67884A88">
      <w:pPr>
        <w:spacing w:line="480" w:lineRule="auto"/>
        <w:jc w:val="both"/>
        <w:rPr>
          <w:rFonts w:ascii="Arial" w:hAnsi="Arial" w:cs="Arial"/>
          <w:b/>
          <w:bCs/>
          <w:sz w:val="22"/>
          <w:szCs w:val="22"/>
          <w:lang w:val="en-US"/>
        </w:rPr>
      </w:pPr>
    </w:p>
    <w:p w14:paraId="099ABF3E">
      <w:pPr>
        <w:spacing w:line="480" w:lineRule="auto"/>
        <w:jc w:val="both"/>
        <w:rPr>
          <w:rFonts w:ascii="Arial" w:hAnsi="Arial" w:cs="Arial"/>
          <w:b/>
          <w:bCs/>
          <w:sz w:val="22"/>
          <w:szCs w:val="22"/>
          <w:lang w:val="en-US"/>
        </w:rPr>
      </w:pPr>
    </w:p>
    <w:p w14:paraId="301C6613">
      <w:pPr>
        <w:spacing w:line="480" w:lineRule="auto"/>
        <w:jc w:val="both"/>
        <w:rPr>
          <w:rFonts w:ascii="Arial" w:hAnsi="Arial" w:cs="Arial"/>
          <w:b/>
          <w:bCs/>
          <w:sz w:val="22"/>
          <w:szCs w:val="22"/>
          <w:lang w:val="en-US"/>
        </w:rPr>
      </w:pPr>
    </w:p>
    <w:p w14:paraId="7A24CB66">
      <w:pPr>
        <w:spacing w:line="480" w:lineRule="auto"/>
        <w:jc w:val="both"/>
        <w:rPr>
          <w:rFonts w:ascii="Arial" w:hAnsi="Arial" w:cs="Arial"/>
          <w:b/>
          <w:bCs/>
          <w:sz w:val="22"/>
          <w:szCs w:val="22"/>
          <w:lang w:val="en-US"/>
        </w:rPr>
      </w:pPr>
    </w:p>
    <w:p w14:paraId="1E416D99">
      <w:pPr>
        <w:spacing w:line="480" w:lineRule="auto"/>
        <w:jc w:val="both"/>
        <w:rPr>
          <w:rFonts w:ascii="Arial" w:hAnsi="Arial" w:cs="Arial"/>
          <w:b/>
          <w:bCs/>
          <w:sz w:val="22"/>
          <w:szCs w:val="22"/>
          <w:lang w:val="en-US"/>
        </w:rPr>
      </w:pPr>
    </w:p>
    <w:p w14:paraId="5D8E0217">
      <w:pPr>
        <w:spacing w:line="480" w:lineRule="auto"/>
        <w:jc w:val="both"/>
        <w:rPr>
          <w:rFonts w:ascii="Arial" w:hAnsi="Arial" w:cs="Arial"/>
          <w:b/>
          <w:bCs/>
          <w:sz w:val="22"/>
          <w:szCs w:val="22"/>
          <w:lang w:val="en-US"/>
        </w:rPr>
      </w:pPr>
    </w:p>
    <w:p w14:paraId="50092142">
      <w:pPr>
        <w:spacing w:line="480" w:lineRule="auto"/>
        <w:jc w:val="both"/>
        <w:rPr>
          <w:rFonts w:ascii="Arial" w:hAnsi="Arial" w:cs="Arial"/>
          <w:b/>
          <w:bCs/>
          <w:sz w:val="22"/>
          <w:szCs w:val="22"/>
          <w:lang w:val="en-US"/>
        </w:rPr>
      </w:pPr>
    </w:p>
    <w:p w14:paraId="1DF92396">
      <w:pPr>
        <w:spacing w:line="480" w:lineRule="auto"/>
        <w:jc w:val="both"/>
        <w:rPr>
          <w:rFonts w:ascii="Arial" w:hAnsi="Arial" w:cs="Arial"/>
          <w:b/>
          <w:bCs/>
          <w:sz w:val="22"/>
          <w:szCs w:val="22"/>
          <w:lang w:val="en-US"/>
        </w:rPr>
      </w:pPr>
    </w:p>
    <w:p w14:paraId="49F93427">
      <w:pPr>
        <w:spacing w:line="480" w:lineRule="auto"/>
        <w:jc w:val="both"/>
        <w:rPr>
          <w:rFonts w:ascii="Arial" w:hAnsi="Arial" w:cs="Arial"/>
          <w:sz w:val="22"/>
          <w:szCs w:val="22"/>
          <w:lang w:val="en-US"/>
        </w:rPr>
      </w:pPr>
      <w:r>
        <w:rPr>
          <w:rFonts w:ascii="Arial" w:hAnsi="Arial" w:cs="Arial"/>
          <w:sz w:val="22"/>
          <w:szCs w:val="22"/>
          <w:lang w:val="en-US"/>
        </w:rPr>
        <w:t xml:space="preserve">   </w:t>
      </w:r>
    </w:p>
    <w:p w14:paraId="08748656">
      <w:pPr>
        <w:spacing w:line="480" w:lineRule="auto"/>
        <w:rPr>
          <w:rFonts w:ascii="Arial" w:hAnsi="Arial" w:cs="Arial"/>
          <w:sz w:val="22"/>
          <w:szCs w:val="22"/>
          <w:lang w:val="en-US"/>
        </w:rPr>
      </w:pPr>
      <w:r>
        <w:rPr>
          <w:rFonts w:ascii="Arial" w:hAnsi="Arial" w:cs="Arial"/>
          <w:b/>
          <w:bCs/>
          <w:sz w:val="22"/>
          <w:szCs w:val="22"/>
          <w:lang w:val="en-US"/>
        </w:rPr>
        <w:t xml:space="preserve">Figure 5. </w:t>
      </w:r>
      <w:r>
        <w:rPr>
          <w:rFonts w:ascii="Arial" w:hAnsi="Arial" w:cs="Arial"/>
          <w:sz w:val="22"/>
          <w:szCs w:val="22"/>
          <w:lang w:val="en-US"/>
        </w:rPr>
        <w:t>Isotopic range of δ</w:t>
      </w:r>
      <w:r>
        <w:rPr>
          <w:rFonts w:ascii="Arial" w:hAnsi="Arial" w:cs="Arial"/>
          <w:sz w:val="22"/>
          <w:szCs w:val="22"/>
          <w:vertAlign w:val="superscript"/>
          <w:lang w:val="en-US"/>
        </w:rPr>
        <w:t>13</w:t>
      </w:r>
      <w:r>
        <w:rPr>
          <w:rFonts w:ascii="Arial" w:hAnsi="Arial" w:cs="Arial"/>
          <w:sz w:val="22"/>
          <w:szCs w:val="22"/>
          <w:lang w:val="en-US"/>
        </w:rPr>
        <w:t>C (‰, VPDB) values in bioapatite from of our study area, corresponding to different vegetation types. Most of the analyzed specimens lived in environments ranging from wooded C</w:t>
      </w:r>
      <w:r>
        <w:rPr>
          <w:rFonts w:ascii="Arial" w:hAnsi="Arial" w:cs="Arial"/>
          <w:sz w:val="22"/>
          <w:szCs w:val="22"/>
          <w:vertAlign w:val="subscript"/>
          <w:lang w:val="en-US"/>
        </w:rPr>
        <w:t>3</w:t>
      </w:r>
      <w:r>
        <w:rPr>
          <w:rFonts w:ascii="Arial" w:hAnsi="Arial" w:cs="Arial"/>
          <w:sz w:val="22"/>
          <w:szCs w:val="22"/>
          <w:lang w:val="en-US"/>
        </w:rPr>
        <w:t xml:space="preserve"> grassland to open arid C</w:t>
      </w:r>
      <w:r>
        <w:rPr>
          <w:rFonts w:ascii="Arial" w:hAnsi="Arial" w:cs="Arial"/>
          <w:sz w:val="22"/>
          <w:szCs w:val="22"/>
          <w:vertAlign w:val="subscript"/>
          <w:lang w:val="en-US"/>
        </w:rPr>
        <w:t>3</w:t>
      </w:r>
      <w:r>
        <w:rPr>
          <w:rFonts w:ascii="Arial" w:hAnsi="Arial" w:cs="Arial"/>
          <w:sz w:val="22"/>
          <w:szCs w:val="22"/>
          <w:lang w:val="en-US"/>
        </w:rPr>
        <w:t xml:space="preserve"> grassland. </w:t>
      </w:r>
      <w:r>
        <w:rPr>
          <w:rFonts w:ascii="Arial" w:hAnsi="Arial" w:cs="Arial"/>
          <w:b/>
          <w:bCs/>
          <w:sz w:val="22"/>
          <w:szCs w:val="22"/>
          <w:lang w:val="en-US"/>
        </w:rPr>
        <w:t>a</w:t>
      </w:r>
      <w:r>
        <w:rPr>
          <w:rFonts w:ascii="Arial" w:hAnsi="Arial" w:cs="Arial"/>
          <w:sz w:val="22"/>
          <w:szCs w:val="22"/>
          <w:lang w:val="en-US"/>
        </w:rPr>
        <w:t xml:space="preserve">. Western Montane Forest, </w:t>
      </w:r>
      <w:r>
        <w:rPr>
          <w:rFonts w:ascii="Arial" w:hAnsi="Arial" w:cs="Arial"/>
          <w:b/>
          <w:bCs/>
          <w:sz w:val="22"/>
          <w:szCs w:val="22"/>
          <w:lang w:val="en-US"/>
        </w:rPr>
        <w:t>b</w:t>
      </w:r>
      <w:r>
        <w:rPr>
          <w:rFonts w:ascii="Arial" w:hAnsi="Arial" w:cs="Arial"/>
          <w:sz w:val="22"/>
          <w:szCs w:val="22"/>
          <w:lang w:val="en-US"/>
        </w:rPr>
        <w:t xml:space="preserve">. More open Western Montane Forest, </w:t>
      </w:r>
      <w:r>
        <w:rPr>
          <w:rFonts w:ascii="Arial" w:hAnsi="Arial" w:cs="Arial"/>
          <w:b/>
          <w:bCs/>
          <w:sz w:val="22"/>
          <w:szCs w:val="22"/>
          <w:lang w:val="en-US"/>
        </w:rPr>
        <w:t>c</w:t>
      </w:r>
      <w:r>
        <w:rPr>
          <w:rFonts w:ascii="Arial" w:hAnsi="Arial" w:cs="Arial"/>
          <w:sz w:val="22"/>
          <w:szCs w:val="22"/>
          <w:lang w:val="en-US"/>
        </w:rPr>
        <w:t xml:space="preserve">. Inter-Andean scrubland, </w:t>
      </w:r>
      <w:r>
        <w:rPr>
          <w:rFonts w:ascii="Arial" w:hAnsi="Arial" w:cs="Arial"/>
          <w:b/>
          <w:bCs/>
          <w:sz w:val="22"/>
          <w:szCs w:val="22"/>
          <w:lang w:val="en-US"/>
        </w:rPr>
        <w:t>d</w:t>
      </w:r>
      <w:r>
        <w:rPr>
          <w:rFonts w:ascii="Arial" w:hAnsi="Arial" w:cs="Arial"/>
          <w:sz w:val="22"/>
          <w:szCs w:val="22"/>
          <w:lang w:val="en-US"/>
        </w:rPr>
        <w:t xml:space="preserve">. Coastal Deciduous Forest, </w:t>
      </w:r>
      <w:r>
        <w:rPr>
          <w:rFonts w:ascii="Arial" w:hAnsi="Arial" w:cs="Arial"/>
          <w:b/>
          <w:bCs/>
          <w:sz w:val="22"/>
          <w:szCs w:val="22"/>
          <w:lang w:val="en-US"/>
        </w:rPr>
        <w:t>e</w:t>
      </w:r>
      <w:r>
        <w:rPr>
          <w:rFonts w:ascii="Arial" w:hAnsi="Arial" w:cs="Arial"/>
          <w:sz w:val="22"/>
          <w:szCs w:val="22"/>
          <w:lang w:val="en-US"/>
        </w:rPr>
        <w:t xml:space="preserve">. Dry Coastal Scrubland, </w:t>
      </w:r>
      <w:r>
        <w:rPr>
          <w:rFonts w:ascii="Arial" w:hAnsi="Arial" w:cs="Arial"/>
          <w:b/>
          <w:bCs/>
          <w:sz w:val="22"/>
          <w:szCs w:val="22"/>
          <w:lang w:val="en-US"/>
        </w:rPr>
        <w:t>f</w:t>
      </w:r>
      <w:r>
        <w:rPr>
          <w:rFonts w:ascii="Arial" w:hAnsi="Arial" w:cs="Arial"/>
          <w:sz w:val="22"/>
          <w:szCs w:val="22"/>
          <w:lang w:val="en-US"/>
        </w:rPr>
        <w:t xml:space="preserve">. Dry Coastal Scrubland.  </w:t>
      </w:r>
    </w:p>
    <w:p w14:paraId="6EFE4FA6">
      <w:pPr>
        <w:spacing w:line="480" w:lineRule="auto"/>
        <w:jc w:val="both"/>
        <w:rPr>
          <w:rFonts w:ascii="Arial" w:hAnsi="Arial" w:cs="Arial"/>
          <w:sz w:val="22"/>
          <w:szCs w:val="22"/>
          <w:lang w:val="en-US"/>
        </w:rPr>
      </w:pPr>
    </w:p>
    <w:p w14:paraId="5E0EA53C">
      <w:pPr>
        <w:spacing w:line="480" w:lineRule="auto"/>
        <w:jc w:val="both"/>
        <w:rPr>
          <w:rFonts w:ascii="Arial" w:hAnsi="Arial" w:cs="Arial"/>
          <w:sz w:val="22"/>
          <w:szCs w:val="22"/>
          <w:lang w:val="en-US"/>
        </w:rPr>
      </w:pPr>
      <w:r>
        <w:rPr>
          <w:rFonts w:ascii="Arial" w:hAnsi="Arial" w:cs="Arial"/>
          <w:sz w:val="22"/>
          <w:szCs w:val="22"/>
          <w:lang w:val="en-US"/>
        </w:rPr>
        <w:drawing>
          <wp:inline distT="0" distB="0" distL="0" distR="0">
            <wp:extent cx="5396230" cy="3840480"/>
            <wp:effectExtent l="0" t="0" r="1270" b="0"/>
            <wp:docPr id="200592798" name="Imagen 1" descr="Una captura de pantalla de un celular con texto e imágen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92798" name="Imagen 1" descr="Una captura de pantalla de un celular con texto e imágenes&#10;&#10;El contenido generado por IA puede ser incorrecto."/>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96230" cy="3840480"/>
                    </a:xfrm>
                    <a:prstGeom prst="rect">
                      <a:avLst/>
                    </a:prstGeom>
                  </pic:spPr>
                </pic:pic>
              </a:graphicData>
            </a:graphic>
          </wp:inline>
        </w:drawing>
      </w:r>
      <w:r>
        <w:rPr>
          <w:rFonts w:ascii="Arial" w:hAnsi="Arial" w:cs="Arial"/>
          <w:sz w:val="22"/>
          <w:szCs w:val="22"/>
          <w:lang w:val="en-US"/>
        </w:rPr>
        <w:t xml:space="preserve"> </w:t>
      </w:r>
    </w:p>
    <w:p w14:paraId="01983428">
      <w:pPr>
        <w:spacing w:line="480" w:lineRule="auto"/>
        <w:jc w:val="both"/>
        <w:rPr>
          <w:rFonts w:ascii="Arial" w:hAnsi="Arial" w:cs="Arial"/>
          <w:b/>
          <w:bCs/>
          <w:sz w:val="22"/>
          <w:szCs w:val="22"/>
          <w:lang w:val="en-US"/>
        </w:rPr>
      </w:pPr>
    </w:p>
    <w:p w14:paraId="78CCB327">
      <w:pPr>
        <w:jc w:val="both"/>
        <w:rPr>
          <w:rFonts w:ascii="Arial" w:hAnsi="Arial" w:cs="Arial"/>
          <w:b/>
          <w:bCs/>
          <w:sz w:val="22"/>
          <w:szCs w:val="22"/>
          <w:lang w:val="en-US"/>
        </w:rPr>
      </w:pPr>
    </w:p>
    <w:p w14:paraId="3456AC95">
      <w:pPr>
        <w:jc w:val="both"/>
        <w:rPr>
          <w:rFonts w:ascii="Arial" w:hAnsi="Arial" w:cs="Arial"/>
          <w:b/>
          <w:bCs/>
          <w:sz w:val="22"/>
          <w:szCs w:val="22"/>
          <w:lang w:val="en-US"/>
        </w:rPr>
      </w:pPr>
    </w:p>
    <w:p w14:paraId="651AD548">
      <w:pPr>
        <w:jc w:val="both"/>
        <w:rPr>
          <w:rFonts w:ascii="Arial" w:hAnsi="Arial" w:cs="Arial"/>
          <w:b/>
          <w:bCs/>
          <w:sz w:val="22"/>
          <w:szCs w:val="22"/>
          <w:lang w:val="en-US"/>
        </w:rPr>
      </w:pPr>
    </w:p>
    <w:p w14:paraId="49077510">
      <w:pPr>
        <w:jc w:val="both"/>
        <w:rPr>
          <w:rFonts w:ascii="Arial" w:hAnsi="Arial" w:cs="Arial"/>
          <w:b/>
          <w:bCs/>
          <w:sz w:val="22"/>
          <w:szCs w:val="22"/>
          <w:lang w:val="en-US"/>
        </w:rPr>
      </w:pPr>
    </w:p>
    <w:p w14:paraId="289E548F">
      <w:pPr>
        <w:jc w:val="both"/>
        <w:rPr>
          <w:rFonts w:ascii="Arial" w:hAnsi="Arial" w:cs="Arial"/>
          <w:b/>
          <w:bCs/>
          <w:sz w:val="22"/>
          <w:szCs w:val="22"/>
          <w:lang w:val="en-US"/>
        </w:rPr>
      </w:pPr>
    </w:p>
    <w:p w14:paraId="507F3545">
      <w:pPr>
        <w:jc w:val="both"/>
        <w:rPr>
          <w:rFonts w:ascii="Arial" w:hAnsi="Arial" w:cs="Arial"/>
          <w:b/>
          <w:bCs/>
          <w:sz w:val="22"/>
          <w:szCs w:val="22"/>
          <w:lang w:val="en-US"/>
        </w:rPr>
      </w:pPr>
    </w:p>
    <w:p w14:paraId="46C1F996">
      <w:pPr>
        <w:jc w:val="both"/>
        <w:rPr>
          <w:rFonts w:ascii="Arial" w:hAnsi="Arial" w:cs="Arial"/>
          <w:b/>
          <w:bCs/>
          <w:sz w:val="22"/>
          <w:szCs w:val="22"/>
          <w:lang w:val="en-US"/>
        </w:rPr>
      </w:pPr>
    </w:p>
    <w:p w14:paraId="220537F6">
      <w:pPr>
        <w:jc w:val="both"/>
        <w:rPr>
          <w:rFonts w:ascii="Arial" w:hAnsi="Arial" w:cs="Arial"/>
          <w:b/>
          <w:bCs/>
          <w:sz w:val="22"/>
          <w:szCs w:val="22"/>
          <w:lang w:val="en-US"/>
        </w:rPr>
      </w:pPr>
    </w:p>
    <w:p w14:paraId="1DC5A1F0">
      <w:pPr>
        <w:jc w:val="both"/>
        <w:rPr>
          <w:rFonts w:ascii="Arial" w:hAnsi="Arial" w:cs="Arial"/>
          <w:b/>
          <w:bCs/>
          <w:sz w:val="22"/>
          <w:szCs w:val="22"/>
          <w:lang w:val="en-US"/>
        </w:rPr>
      </w:pPr>
    </w:p>
    <w:p w14:paraId="59AB6D86">
      <w:pPr>
        <w:jc w:val="both"/>
        <w:rPr>
          <w:rFonts w:ascii="Arial" w:hAnsi="Arial" w:cs="Arial"/>
          <w:b/>
          <w:bCs/>
          <w:sz w:val="22"/>
          <w:szCs w:val="22"/>
          <w:lang w:val="en-US"/>
        </w:rPr>
      </w:pPr>
    </w:p>
    <w:p w14:paraId="12486FE7">
      <w:pPr>
        <w:jc w:val="both"/>
        <w:rPr>
          <w:rFonts w:ascii="Arial" w:hAnsi="Arial" w:cs="Arial"/>
          <w:b/>
          <w:bCs/>
          <w:sz w:val="22"/>
          <w:szCs w:val="22"/>
          <w:lang w:val="en-US"/>
        </w:rPr>
      </w:pPr>
    </w:p>
    <w:p w14:paraId="5DFD6D0E">
      <w:pPr>
        <w:jc w:val="both"/>
        <w:rPr>
          <w:rFonts w:ascii="Arial" w:hAnsi="Arial" w:cs="Arial"/>
          <w:b/>
          <w:bCs/>
          <w:sz w:val="22"/>
          <w:szCs w:val="22"/>
          <w:lang w:val="en-US"/>
        </w:rPr>
      </w:pPr>
    </w:p>
    <w:p w14:paraId="3E826BCA">
      <w:pPr>
        <w:jc w:val="both"/>
        <w:rPr>
          <w:rFonts w:ascii="Arial" w:hAnsi="Arial" w:cs="Arial"/>
          <w:b/>
          <w:bCs/>
          <w:sz w:val="22"/>
          <w:szCs w:val="22"/>
          <w:lang w:val="en-US"/>
        </w:rPr>
      </w:pPr>
    </w:p>
    <w:p w14:paraId="73375A62">
      <w:pPr>
        <w:jc w:val="both"/>
        <w:rPr>
          <w:rFonts w:ascii="Arial" w:hAnsi="Arial" w:cs="Arial"/>
          <w:b/>
          <w:bCs/>
          <w:sz w:val="22"/>
          <w:szCs w:val="22"/>
          <w:lang w:val="en-US"/>
        </w:rPr>
      </w:pPr>
    </w:p>
    <w:p w14:paraId="470BCDC4">
      <w:pPr>
        <w:jc w:val="both"/>
        <w:rPr>
          <w:rFonts w:ascii="Arial" w:hAnsi="Arial" w:cs="Arial"/>
          <w:b/>
          <w:bCs/>
          <w:sz w:val="22"/>
          <w:szCs w:val="22"/>
          <w:lang w:val="en-US"/>
        </w:rPr>
      </w:pPr>
    </w:p>
    <w:p w14:paraId="31D406B4">
      <w:pPr>
        <w:jc w:val="both"/>
        <w:rPr>
          <w:rFonts w:ascii="Arial" w:hAnsi="Arial" w:cs="Arial"/>
          <w:b/>
          <w:bCs/>
          <w:sz w:val="22"/>
          <w:szCs w:val="22"/>
          <w:lang w:val="en-US"/>
        </w:rPr>
      </w:pPr>
    </w:p>
    <w:p w14:paraId="73598D78">
      <w:pPr>
        <w:pStyle w:val="5"/>
        <w:keepNext/>
        <w:spacing w:line="480" w:lineRule="auto"/>
        <w:rPr>
          <w:i w:val="0"/>
          <w:iCs w:val="0"/>
          <w:color w:val="auto"/>
          <w:sz w:val="22"/>
          <w:szCs w:val="22"/>
          <w:lang w:val="en-US"/>
        </w:rPr>
      </w:pPr>
      <w:r>
        <w:rPr>
          <w:b/>
          <w:bCs/>
          <w:i w:val="0"/>
          <w:iCs w:val="0"/>
          <w:color w:val="auto"/>
          <w:sz w:val="22"/>
          <w:szCs w:val="22"/>
          <w:lang w:val="en-US"/>
        </w:rPr>
        <w:t>Table 1</w:t>
      </w:r>
      <w:r>
        <w:rPr>
          <w:i w:val="0"/>
          <w:iCs w:val="0"/>
          <w:color w:val="auto"/>
          <w:sz w:val="22"/>
          <w:szCs w:val="22"/>
          <w:lang w:val="en-US"/>
        </w:rPr>
        <w:t xml:space="preserve">.  Radiocarbon dating from the bioapatite of the dental enamel of gomphotheres from Ecuador. </w:t>
      </w:r>
    </w:p>
    <w:tbl>
      <w:tblPr>
        <w:tblStyle w:val="3"/>
        <w:tblW w:w="11199" w:type="dxa"/>
        <w:jc w:val="center"/>
        <w:tblLayout w:type="autofit"/>
        <w:tblCellMar>
          <w:top w:w="0" w:type="dxa"/>
          <w:left w:w="70" w:type="dxa"/>
          <w:bottom w:w="0" w:type="dxa"/>
          <w:right w:w="70" w:type="dxa"/>
        </w:tblCellMar>
      </w:tblPr>
      <w:tblGrid>
        <w:gridCol w:w="1843"/>
        <w:gridCol w:w="3969"/>
        <w:gridCol w:w="1134"/>
        <w:gridCol w:w="1134"/>
        <w:gridCol w:w="709"/>
        <w:gridCol w:w="425"/>
        <w:gridCol w:w="851"/>
        <w:gridCol w:w="1134"/>
      </w:tblGrid>
      <w:tr w14:paraId="0326FAF5">
        <w:tblPrEx>
          <w:tblCellMar>
            <w:top w:w="0" w:type="dxa"/>
            <w:left w:w="70" w:type="dxa"/>
            <w:bottom w:w="0" w:type="dxa"/>
            <w:right w:w="70" w:type="dxa"/>
          </w:tblCellMar>
        </w:tblPrEx>
        <w:trPr>
          <w:trHeight w:val="288" w:hRule="atLeast"/>
          <w:jc w:val="center"/>
        </w:trPr>
        <w:tc>
          <w:tcPr>
            <w:tcW w:w="1843" w:type="dxa"/>
            <w:tcBorders>
              <w:top w:val="single" w:color="auto" w:sz="4" w:space="0"/>
              <w:left w:val="nil"/>
              <w:bottom w:val="single" w:color="auto" w:sz="4" w:space="0"/>
              <w:right w:val="nil"/>
            </w:tcBorders>
            <w:shd w:val="clear" w:color="000000" w:fill="FFFFFF"/>
            <w:vAlign w:val="center"/>
          </w:tcPr>
          <w:p w14:paraId="4D9534DF">
            <w:pPr>
              <w:rPr>
                <w:rFonts w:eastAsia="Times New Roman" w:cs="Arial"/>
                <w:b/>
                <w:bCs/>
                <w:sz w:val="16"/>
                <w:szCs w:val="16"/>
                <w:lang w:eastAsia="es-CL"/>
              </w:rPr>
            </w:pPr>
            <w:r>
              <w:rPr>
                <w:rFonts w:eastAsia="Times New Roman" w:cs="Arial"/>
                <w:b/>
                <w:bCs/>
                <w:sz w:val="16"/>
                <w:szCs w:val="16"/>
                <w:lang w:eastAsia="es-CL"/>
              </w:rPr>
              <w:t>Taxon</w:t>
            </w:r>
          </w:p>
        </w:tc>
        <w:tc>
          <w:tcPr>
            <w:tcW w:w="3969" w:type="dxa"/>
            <w:tcBorders>
              <w:top w:val="single" w:color="auto" w:sz="4" w:space="0"/>
              <w:left w:val="nil"/>
              <w:bottom w:val="single" w:color="auto" w:sz="4" w:space="0"/>
              <w:right w:val="nil"/>
            </w:tcBorders>
            <w:shd w:val="clear" w:color="000000" w:fill="FFFFFF"/>
            <w:noWrap/>
            <w:vAlign w:val="center"/>
          </w:tcPr>
          <w:p w14:paraId="701A27A6">
            <w:pPr>
              <w:rPr>
                <w:rFonts w:eastAsia="Times New Roman" w:cs="Arial"/>
                <w:b/>
                <w:bCs/>
                <w:sz w:val="16"/>
                <w:szCs w:val="16"/>
                <w:lang w:eastAsia="es-CL"/>
              </w:rPr>
            </w:pPr>
            <w:r>
              <w:rPr>
                <w:rFonts w:eastAsia="Times New Roman" w:cs="Arial"/>
                <w:b/>
                <w:bCs/>
                <w:sz w:val="16"/>
                <w:szCs w:val="16"/>
                <w:lang w:eastAsia="es-CL"/>
              </w:rPr>
              <w:t>Locality</w:t>
            </w:r>
          </w:p>
        </w:tc>
        <w:tc>
          <w:tcPr>
            <w:tcW w:w="1134" w:type="dxa"/>
            <w:tcBorders>
              <w:top w:val="single" w:color="auto" w:sz="4" w:space="0"/>
              <w:left w:val="nil"/>
              <w:bottom w:val="single" w:color="auto" w:sz="4" w:space="0"/>
              <w:right w:val="nil"/>
            </w:tcBorders>
            <w:shd w:val="clear" w:color="000000" w:fill="FFFFFF"/>
            <w:noWrap/>
            <w:vAlign w:val="center"/>
          </w:tcPr>
          <w:p w14:paraId="367006F0">
            <w:pPr>
              <w:rPr>
                <w:rFonts w:eastAsia="Times New Roman" w:cs="Arial"/>
                <w:b/>
                <w:bCs/>
                <w:sz w:val="16"/>
                <w:szCs w:val="16"/>
                <w:lang w:eastAsia="es-CL"/>
              </w:rPr>
            </w:pPr>
            <w:r>
              <w:rPr>
                <w:rFonts w:eastAsia="Times New Roman" w:cs="Arial"/>
                <w:b/>
                <w:bCs/>
                <w:sz w:val="16"/>
                <w:szCs w:val="16"/>
                <w:lang w:eastAsia="es-CL"/>
              </w:rPr>
              <w:t>Sample code</w:t>
            </w:r>
          </w:p>
        </w:tc>
        <w:tc>
          <w:tcPr>
            <w:tcW w:w="1134" w:type="dxa"/>
            <w:tcBorders>
              <w:top w:val="single" w:color="auto" w:sz="4" w:space="0"/>
              <w:left w:val="nil"/>
              <w:bottom w:val="single" w:color="auto" w:sz="4" w:space="0"/>
              <w:right w:val="nil"/>
            </w:tcBorders>
            <w:shd w:val="clear" w:color="000000" w:fill="FFFFFF"/>
            <w:noWrap/>
            <w:vAlign w:val="center"/>
          </w:tcPr>
          <w:p w14:paraId="02C6F3CB">
            <w:pPr>
              <w:rPr>
                <w:rFonts w:eastAsia="Times New Roman" w:cs="Arial"/>
                <w:b/>
                <w:bCs/>
                <w:sz w:val="16"/>
                <w:szCs w:val="16"/>
                <w:lang w:eastAsia="es-CL"/>
              </w:rPr>
            </w:pPr>
            <w:r>
              <w:rPr>
                <w:rFonts w:eastAsia="Times New Roman" w:cs="Arial"/>
                <w:b/>
                <w:bCs/>
                <w:sz w:val="16"/>
                <w:szCs w:val="16"/>
                <w:lang w:eastAsia="es-CL"/>
              </w:rPr>
              <w:t>14C lab code</w:t>
            </w:r>
          </w:p>
        </w:tc>
        <w:tc>
          <w:tcPr>
            <w:tcW w:w="709" w:type="dxa"/>
            <w:tcBorders>
              <w:top w:val="single" w:color="auto" w:sz="4" w:space="0"/>
              <w:left w:val="nil"/>
              <w:bottom w:val="single" w:color="auto" w:sz="4" w:space="0"/>
              <w:right w:val="nil"/>
            </w:tcBorders>
            <w:shd w:val="clear" w:color="000000" w:fill="FFFFFF"/>
            <w:noWrap/>
            <w:vAlign w:val="center"/>
          </w:tcPr>
          <w:p w14:paraId="2583549E">
            <w:pPr>
              <w:rPr>
                <w:rFonts w:eastAsia="Times New Roman" w:cs="Arial"/>
                <w:b/>
                <w:bCs/>
                <w:sz w:val="16"/>
                <w:szCs w:val="16"/>
                <w:lang w:eastAsia="es-CL"/>
              </w:rPr>
            </w:pPr>
            <w:r>
              <w:rPr>
                <w:rFonts w:eastAsia="Times New Roman" w:cs="Arial"/>
                <w:b/>
                <w:bCs/>
                <w:sz w:val="16"/>
                <w:szCs w:val="16"/>
                <w:lang w:eastAsia="es-CL"/>
              </w:rPr>
              <w:t>14C age</w:t>
            </w:r>
          </w:p>
        </w:tc>
        <w:tc>
          <w:tcPr>
            <w:tcW w:w="425" w:type="dxa"/>
            <w:tcBorders>
              <w:top w:val="single" w:color="auto" w:sz="4" w:space="0"/>
              <w:left w:val="nil"/>
              <w:bottom w:val="single" w:color="auto" w:sz="4" w:space="0"/>
              <w:right w:val="nil"/>
            </w:tcBorders>
            <w:shd w:val="clear" w:color="000000" w:fill="FFFFFF"/>
            <w:noWrap/>
            <w:vAlign w:val="center"/>
          </w:tcPr>
          <w:p w14:paraId="3A51E8C6">
            <w:pPr>
              <w:rPr>
                <w:rFonts w:eastAsia="Times New Roman" w:cs="Arial"/>
                <w:b/>
                <w:bCs/>
                <w:sz w:val="16"/>
                <w:szCs w:val="16"/>
                <w:lang w:eastAsia="es-CL"/>
              </w:rPr>
            </w:pPr>
            <w:r>
              <w:rPr>
                <w:rFonts w:eastAsia="Times New Roman" w:cs="Arial"/>
                <w:b/>
                <w:bCs/>
                <w:sz w:val="16"/>
                <w:szCs w:val="16"/>
                <w:lang w:eastAsia="es-CL"/>
              </w:rPr>
              <w:t>+/-</w:t>
            </w:r>
          </w:p>
        </w:tc>
        <w:tc>
          <w:tcPr>
            <w:tcW w:w="851" w:type="dxa"/>
            <w:tcBorders>
              <w:top w:val="single" w:color="auto" w:sz="4" w:space="0"/>
              <w:left w:val="nil"/>
              <w:bottom w:val="single" w:color="auto" w:sz="4" w:space="0"/>
              <w:right w:val="nil"/>
            </w:tcBorders>
            <w:shd w:val="clear" w:color="000000" w:fill="FFFFFF"/>
            <w:noWrap/>
            <w:vAlign w:val="center"/>
          </w:tcPr>
          <w:p w14:paraId="735BC752">
            <w:pPr>
              <w:rPr>
                <w:rFonts w:eastAsia="Times New Roman" w:cs="Arial"/>
                <w:b/>
                <w:bCs/>
                <w:sz w:val="16"/>
                <w:szCs w:val="16"/>
                <w:lang w:eastAsia="es-CL"/>
              </w:rPr>
            </w:pPr>
            <w:r>
              <w:rPr>
                <w:rFonts w:eastAsia="Times New Roman" w:cs="Arial"/>
                <w:b/>
                <w:bCs/>
                <w:sz w:val="16"/>
                <w:szCs w:val="16"/>
                <w:lang w:eastAsia="es-CL"/>
              </w:rPr>
              <w:t xml:space="preserve">Cal mean </w:t>
            </w:r>
          </w:p>
        </w:tc>
        <w:tc>
          <w:tcPr>
            <w:tcW w:w="1134" w:type="dxa"/>
            <w:tcBorders>
              <w:top w:val="single" w:color="auto" w:sz="4" w:space="0"/>
              <w:left w:val="nil"/>
              <w:bottom w:val="single" w:color="auto" w:sz="4" w:space="0"/>
              <w:right w:val="nil"/>
            </w:tcBorders>
            <w:shd w:val="clear" w:color="000000" w:fill="FFFFFF"/>
            <w:vAlign w:val="center"/>
          </w:tcPr>
          <w:p w14:paraId="22FA9B5D">
            <w:pPr>
              <w:rPr>
                <w:rFonts w:eastAsia="Times New Roman" w:cs="Arial"/>
                <w:b/>
                <w:bCs/>
                <w:sz w:val="16"/>
                <w:szCs w:val="16"/>
                <w:lang w:eastAsia="es-CL"/>
              </w:rPr>
            </w:pPr>
            <w:r>
              <w:rPr>
                <w:rFonts w:eastAsia="Times New Roman" w:cs="Arial"/>
                <w:b/>
                <w:bCs/>
                <w:sz w:val="16"/>
                <w:szCs w:val="16"/>
                <w:lang w:eastAsia="es-CL"/>
              </w:rPr>
              <w:t>2</w:t>
            </w:r>
            <w:r>
              <w:rPr>
                <w:rFonts w:eastAsia="Times New Roman" w:cstheme="minorHAnsi"/>
                <w:b/>
                <w:bCs/>
                <w:sz w:val="16"/>
                <w:szCs w:val="16"/>
                <w:lang w:eastAsia="es-CL"/>
              </w:rPr>
              <w:t>σ range</w:t>
            </w:r>
          </w:p>
        </w:tc>
      </w:tr>
      <w:tr w14:paraId="11421E3D">
        <w:tblPrEx>
          <w:tblCellMar>
            <w:top w:w="0" w:type="dxa"/>
            <w:left w:w="70" w:type="dxa"/>
            <w:bottom w:w="0" w:type="dxa"/>
            <w:right w:w="70" w:type="dxa"/>
          </w:tblCellMar>
        </w:tblPrEx>
        <w:trPr>
          <w:trHeight w:val="399" w:hRule="atLeast"/>
          <w:jc w:val="center"/>
        </w:trPr>
        <w:tc>
          <w:tcPr>
            <w:tcW w:w="1843" w:type="dxa"/>
            <w:tcBorders>
              <w:top w:val="nil"/>
              <w:left w:val="nil"/>
              <w:bottom w:val="nil"/>
              <w:right w:val="nil"/>
            </w:tcBorders>
            <w:shd w:val="clear" w:color="000000" w:fill="FFFFFF"/>
            <w:vAlign w:val="center"/>
          </w:tcPr>
          <w:p w14:paraId="09763703">
            <w:pPr>
              <w:spacing w:line="480" w:lineRule="auto"/>
              <w:rPr>
                <w:rFonts w:eastAsia="Times New Roman" w:cs="Arial"/>
                <w:i/>
                <w:iCs/>
                <w:sz w:val="16"/>
                <w:szCs w:val="16"/>
                <w:lang w:eastAsia="es-CL"/>
              </w:rPr>
            </w:pPr>
            <w:r>
              <w:rPr>
                <w:rFonts w:eastAsia="Times New Roman" w:cs="Arial"/>
                <w:i/>
                <w:iCs/>
                <w:sz w:val="16"/>
                <w:szCs w:val="16"/>
                <w:lang w:eastAsia="es-CL"/>
              </w:rPr>
              <w:t>Notiomastodon platensis</w:t>
            </w:r>
          </w:p>
        </w:tc>
        <w:tc>
          <w:tcPr>
            <w:tcW w:w="3969" w:type="dxa"/>
            <w:tcBorders>
              <w:top w:val="nil"/>
              <w:left w:val="nil"/>
              <w:bottom w:val="nil"/>
              <w:right w:val="nil"/>
            </w:tcBorders>
            <w:shd w:val="clear" w:color="000000" w:fill="FFFFFF"/>
            <w:noWrap/>
            <w:vAlign w:val="center"/>
          </w:tcPr>
          <w:p w14:paraId="172935CD">
            <w:pPr>
              <w:spacing w:line="480" w:lineRule="auto"/>
              <w:rPr>
                <w:rFonts w:eastAsia="Times New Roman" w:cs="Arial"/>
                <w:sz w:val="16"/>
                <w:szCs w:val="16"/>
                <w:lang w:eastAsia="es-CL"/>
              </w:rPr>
            </w:pPr>
            <w:r>
              <w:rPr>
                <w:rFonts w:eastAsia="Times New Roman" w:cs="Arial"/>
                <w:sz w:val="16"/>
                <w:szCs w:val="16"/>
                <w:lang w:eastAsia="es-CL"/>
              </w:rPr>
              <w:t>La Carolina/Santa Elena (2°13'S, 80°55'W)</w:t>
            </w:r>
          </w:p>
        </w:tc>
        <w:tc>
          <w:tcPr>
            <w:tcW w:w="1134" w:type="dxa"/>
            <w:tcBorders>
              <w:top w:val="nil"/>
              <w:left w:val="nil"/>
              <w:bottom w:val="nil"/>
              <w:right w:val="nil"/>
            </w:tcBorders>
            <w:shd w:val="clear" w:color="000000" w:fill="FFFFFF"/>
            <w:noWrap/>
            <w:vAlign w:val="center"/>
          </w:tcPr>
          <w:p w14:paraId="2301BD6D">
            <w:pPr>
              <w:spacing w:line="480" w:lineRule="auto"/>
              <w:rPr>
                <w:rFonts w:eastAsia="Times New Roman" w:cs="Arial"/>
                <w:sz w:val="16"/>
                <w:szCs w:val="16"/>
                <w:lang w:eastAsia="es-CL"/>
              </w:rPr>
            </w:pPr>
            <w:r>
              <w:rPr>
                <w:rFonts w:eastAsia="Times New Roman" w:cs="Arial"/>
                <w:sz w:val="16"/>
                <w:szCs w:val="16"/>
                <w:lang w:eastAsia="es-CL"/>
              </w:rPr>
              <w:t>V-4824</w:t>
            </w:r>
          </w:p>
        </w:tc>
        <w:tc>
          <w:tcPr>
            <w:tcW w:w="1134" w:type="dxa"/>
            <w:tcBorders>
              <w:top w:val="nil"/>
              <w:left w:val="nil"/>
              <w:bottom w:val="nil"/>
              <w:right w:val="nil"/>
            </w:tcBorders>
            <w:shd w:val="clear" w:color="000000" w:fill="FFFFFF"/>
            <w:noWrap/>
            <w:vAlign w:val="center"/>
          </w:tcPr>
          <w:p w14:paraId="14CCBF87">
            <w:pPr>
              <w:spacing w:line="480" w:lineRule="auto"/>
              <w:rPr>
                <w:rFonts w:eastAsia="Times New Roman" w:cs="Arial"/>
                <w:sz w:val="16"/>
                <w:szCs w:val="16"/>
                <w:lang w:eastAsia="es-CL"/>
              </w:rPr>
            </w:pPr>
            <w:r>
              <w:rPr>
                <w:rFonts w:eastAsia="Times New Roman" w:cs="Arial"/>
                <w:sz w:val="16"/>
                <w:szCs w:val="16"/>
                <w:lang w:eastAsia="es-CL"/>
              </w:rPr>
              <w:t>UGAMS-74813</w:t>
            </w:r>
          </w:p>
        </w:tc>
        <w:tc>
          <w:tcPr>
            <w:tcW w:w="709" w:type="dxa"/>
            <w:tcBorders>
              <w:top w:val="nil"/>
              <w:left w:val="nil"/>
              <w:bottom w:val="nil"/>
              <w:right w:val="nil"/>
            </w:tcBorders>
            <w:shd w:val="clear" w:color="000000" w:fill="FFFFFF"/>
            <w:noWrap/>
            <w:vAlign w:val="center"/>
          </w:tcPr>
          <w:p w14:paraId="0DDC4D5D">
            <w:pPr>
              <w:spacing w:line="480" w:lineRule="auto"/>
              <w:rPr>
                <w:rFonts w:eastAsia="Times New Roman" w:cs="Arial"/>
                <w:sz w:val="16"/>
                <w:szCs w:val="16"/>
                <w:lang w:eastAsia="es-CL"/>
              </w:rPr>
            </w:pPr>
            <w:r>
              <w:rPr>
                <w:rFonts w:eastAsia="Times New Roman" w:cs="Arial"/>
                <w:sz w:val="16"/>
                <w:szCs w:val="16"/>
                <w:lang w:eastAsia="es-CL"/>
              </w:rPr>
              <w:t>20,500</w:t>
            </w:r>
          </w:p>
        </w:tc>
        <w:tc>
          <w:tcPr>
            <w:tcW w:w="425" w:type="dxa"/>
            <w:tcBorders>
              <w:top w:val="nil"/>
              <w:left w:val="nil"/>
              <w:bottom w:val="nil"/>
              <w:right w:val="nil"/>
            </w:tcBorders>
            <w:shd w:val="clear" w:color="000000" w:fill="FFFFFF"/>
            <w:noWrap/>
            <w:vAlign w:val="center"/>
          </w:tcPr>
          <w:p w14:paraId="5790A42A">
            <w:pPr>
              <w:spacing w:line="480" w:lineRule="auto"/>
              <w:rPr>
                <w:rFonts w:eastAsia="Times New Roman" w:cs="Arial"/>
                <w:sz w:val="16"/>
                <w:szCs w:val="16"/>
                <w:lang w:eastAsia="es-CL"/>
              </w:rPr>
            </w:pPr>
            <w:r>
              <w:rPr>
                <w:rFonts w:eastAsia="Times New Roman" w:cs="Arial"/>
                <w:sz w:val="16"/>
                <w:szCs w:val="16"/>
                <w:lang w:eastAsia="es-CL"/>
              </w:rPr>
              <w:t>50</w:t>
            </w:r>
          </w:p>
        </w:tc>
        <w:tc>
          <w:tcPr>
            <w:tcW w:w="851" w:type="dxa"/>
            <w:tcBorders>
              <w:top w:val="nil"/>
              <w:left w:val="nil"/>
              <w:bottom w:val="nil"/>
              <w:right w:val="nil"/>
            </w:tcBorders>
            <w:shd w:val="clear" w:color="000000" w:fill="FFFFFF"/>
            <w:noWrap/>
            <w:vAlign w:val="center"/>
          </w:tcPr>
          <w:p w14:paraId="62F6CA5E">
            <w:pPr>
              <w:spacing w:line="480" w:lineRule="auto"/>
              <w:rPr>
                <w:rFonts w:eastAsia="Times New Roman" w:cs="Arial"/>
                <w:sz w:val="16"/>
                <w:szCs w:val="16"/>
                <w:lang w:eastAsia="es-CL"/>
              </w:rPr>
            </w:pPr>
            <w:r>
              <w:rPr>
                <w:rFonts w:eastAsia="Times New Roman" w:cs="Arial"/>
                <w:sz w:val="16"/>
                <w:szCs w:val="16"/>
                <w:lang w:eastAsia="es-CL"/>
              </w:rPr>
              <w:t>24,610</w:t>
            </w:r>
          </w:p>
        </w:tc>
        <w:tc>
          <w:tcPr>
            <w:tcW w:w="1134" w:type="dxa"/>
            <w:tcBorders>
              <w:top w:val="nil"/>
              <w:left w:val="nil"/>
              <w:bottom w:val="nil"/>
              <w:right w:val="nil"/>
            </w:tcBorders>
            <w:shd w:val="clear" w:color="000000" w:fill="FFFFFF"/>
            <w:vAlign w:val="center"/>
          </w:tcPr>
          <w:p w14:paraId="30BE57FC">
            <w:pPr>
              <w:spacing w:line="480" w:lineRule="auto"/>
              <w:rPr>
                <w:rFonts w:eastAsia="Times New Roman" w:cs="Arial"/>
                <w:sz w:val="16"/>
                <w:szCs w:val="16"/>
                <w:lang w:eastAsia="es-CL"/>
              </w:rPr>
            </w:pPr>
            <w:r>
              <w:rPr>
                <w:rFonts w:eastAsia="Times New Roman" w:cs="Arial"/>
                <w:sz w:val="16"/>
                <w:szCs w:val="16"/>
                <w:lang w:eastAsia="es-CL"/>
              </w:rPr>
              <w:t>24,310-24,870</w:t>
            </w:r>
          </w:p>
        </w:tc>
      </w:tr>
      <w:tr w14:paraId="14302615">
        <w:tblPrEx>
          <w:tblCellMar>
            <w:top w:w="0" w:type="dxa"/>
            <w:left w:w="70" w:type="dxa"/>
            <w:bottom w:w="0" w:type="dxa"/>
            <w:right w:w="70" w:type="dxa"/>
          </w:tblCellMar>
        </w:tblPrEx>
        <w:trPr>
          <w:trHeight w:val="399" w:hRule="atLeast"/>
          <w:jc w:val="center"/>
        </w:trPr>
        <w:tc>
          <w:tcPr>
            <w:tcW w:w="1843" w:type="dxa"/>
            <w:tcBorders>
              <w:top w:val="nil"/>
              <w:left w:val="nil"/>
              <w:bottom w:val="nil"/>
              <w:right w:val="nil"/>
            </w:tcBorders>
            <w:shd w:val="clear" w:color="000000" w:fill="FFFFFF"/>
            <w:vAlign w:val="center"/>
          </w:tcPr>
          <w:p w14:paraId="308ECCC6">
            <w:pPr>
              <w:spacing w:line="480" w:lineRule="auto"/>
              <w:rPr>
                <w:rFonts w:eastAsia="Times New Roman" w:cs="Arial"/>
                <w:sz w:val="16"/>
                <w:szCs w:val="16"/>
                <w:lang w:eastAsia="es-CL"/>
              </w:rPr>
            </w:pPr>
            <w:r>
              <w:rPr>
                <w:rFonts w:eastAsia="Times New Roman" w:cs="Arial"/>
                <w:i/>
                <w:iCs/>
                <w:sz w:val="16"/>
                <w:szCs w:val="16"/>
                <w:lang w:eastAsia="es-CL"/>
              </w:rPr>
              <w:t>Notiomastodon platensis</w:t>
            </w:r>
          </w:p>
        </w:tc>
        <w:tc>
          <w:tcPr>
            <w:tcW w:w="3969" w:type="dxa"/>
            <w:tcBorders>
              <w:top w:val="nil"/>
              <w:left w:val="nil"/>
              <w:bottom w:val="nil"/>
              <w:right w:val="nil"/>
            </w:tcBorders>
            <w:shd w:val="clear" w:color="000000" w:fill="FFFFFF"/>
            <w:noWrap/>
            <w:vAlign w:val="center"/>
          </w:tcPr>
          <w:p w14:paraId="71528DC3">
            <w:pPr>
              <w:spacing w:line="480" w:lineRule="auto"/>
              <w:rPr>
                <w:rFonts w:eastAsia="Times New Roman" w:cs="Arial"/>
                <w:sz w:val="16"/>
                <w:szCs w:val="16"/>
                <w:lang w:eastAsia="es-CL"/>
              </w:rPr>
            </w:pPr>
            <w:r>
              <w:rPr>
                <w:rFonts w:eastAsia="Times New Roman" w:cs="Arial"/>
                <w:sz w:val="16"/>
                <w:szCs w:val="16"/>
                <w:lang w:val="en-US" w:eastAsia="es-CL"/>
              </w:rPr>
              <w:t>Pedro Pablo Gómez/Manabí (1°37'S, 80°33'W)</w:t>
            </w:r>
          </w:p>
        </w:tc>
        <w:tc>
          <w:tcPr>
            <w:tcW w:w="1134" w:type="dxa"/>
            <w:tcBorders>
              <w:top w:val="nil"/>
              <w:left w:val="nil"/>
              <w:bottom w:val="nil"/>
              <w:right w:val="nil"/>
            </w:tcBorders>
            <w:shd w:val="clear" w:color="000000" w:fill="FFFFFF"/>
            <w:noWrap/>
            <w:vAlign w:val="center"/>
          </w:tcPr>
          <w:p w14:paraId="071556C6">
            <w:pPr>
              <w:spacing w:line="480" w:lineRule="auto"/>
              <w:rPr>
                <w:rFonts w:eastAsia="Times New Roman" w:cs="Arial"/>
                <w:sz w:val="16"/>
                <w:szCs w:val="16"/>
                <w:lang w:eastAsia="es-CL"/>
              </w:rPr>
            </w:pPr>
            <w:r>
              <w:rPr>
                <w:rFonts w:eastAsia="Times New Roman" w:cs="Arial"/>
                <w:sz w:val="16"/>
                <w:szCs w:val="16"/>
                <w:lang w:eastAsia="es-CL"/>
              </w:rPr>
              <w:t>V-4314</w:t>
            </w:r>
          </w:p>
        </w:tc>
        <w:tc>
          <w:tcPr>
            <w:tcW w:w="1134" w:type="dxa"/>
            <w:tcBorders>
              <w:top w:val="nil"/>
              <w:left w:val="nil"/>
              <w:bottom w:val="nil"/>
              <w:right w:val="nil"/>
            </w:tcBorders>
            <w:shd w:val="clear" w:color="000000" w:fill="FFFFFF"/>
            <w:noWrap/>
            <w:vAlign w:val="center"/>
          </w:tcPr>
          <w:p w14:paraId="58AE90D1">
            <w:pPr>
              <w:spacing w:line="480" w:lineRule="auto"/>
              <w:rPr>
                <w:rFonts w:eastAsia="Times New Roman" w:cs="Arial"/>
                <w:sz w:val="16"/>
                <w:szCs w:val="16"/>
                <w:lang w:eastAsia="es-CL"/>
              </w:rPr>
            </w:pPr>
            <w:r>
              <w:rPr>
                <w:rFonts w:eastAsia="Times New Roman" w:cs="Arial"/>
                <w:sz w:val="16"/>
                <w:szCs w:val="16"/>
                <w:lang w:eastAsia="es-CL"/>
              </w:rPr>
              <w:t>UGAMS-74814</w:t>
            </w:r>
          </w:p>
        </w:tc>
        <w:tc>
          <w:tcPr>
            <w:tcW w:w="709" w:type="dxa"/>
            <w:tcBorders>
              <w:top w:val="nil"/>
              <w:left w:val="nil"/>
              <w:bottom w:val="nil"/>
              <w:right w:val="nil"/>
            </w:tcBorders>
            <w:shd w:val="clear" w:color="000000" w:fill="FFFFFF"/>
            <w:noWrap/>
            <w:vAlign w:val="center"/>
          </w:tcPr>
          <w:p w14:paraId="3BF6862E">
            <w:pPr>
              <w:spacing w:line="480" w:lineRule="auto"/>
              <w:rPr>
                <w:rFonts w:eastAsia="Times New Roman" w:cs="Arial"/>
                <w:sz w:val="16"/>
                <w:szCs w:val="16"/>
                <w:lang w:eastAsia="es-CL"/>
              </w:rPr>
            </w:pPr>
            <w:r>
              <w:rPr>
                <w:rFonts w:eastAsia="Times New Roman" w:cs="Arial"/>
                <w:sz w:val="16"/>
                <w:szCs w:val="16"/>
                <w:lang w:eastAsia="es-CL"/>
              </w:rPr>
              <w:t>19,860</w:t>
            </w:r>
          </w:p>
        </w:tc>
        <w:tc>
          <w:tcPr>
            <w:tcW w:w="425" w:type="dxa"/>
            <w:tcBorders>
              <w:top w:val="nil"/>
              <w:left w:val="nil"/>
              <w:bottom w:val="nil"/>
              <w:right w:val="nil"/>
            </w:tcBorders>
            <w:shd w:val="clear" w:color="000000" w:fill="FFFFFF"/>
            <w:noWrap/>
            <w:vAlign w:val="center"/>
          </w:tcPr>
          <w:p w14:paraId="7B866DE5">
            <w:pPr>
              <w:spacing w:line="480" w:lineRule="auto"/>
              <w:rPr>
                <w:rFonts w:eastAsia="Times New Roman" w:cs="Arial"/>
                <w:sz w:val="16"/>
                <w:szCs w:val="16"/>
                <w:lang w:eastAsia="es-CL"/>
              </w:rPr>
            </w:pPr>
            <w:r>
              <w:rPr>
                <w:rFonts w:eastAsia="Times New Roman" w:cs="Arial"/>
                <w:sz w:val="16"/>
                <w:szCs w:val="16"/>
                <w:lang w:eastAsia="es-CL"/>
              </w:rPr>
              <w:t>50</w:t>
            </w:r>
          </w:p>
        </w:tc>
        <w:tc>
          <w:tcPr>
            <w:tcW w:w="851" w:type="dxa"/>
            <w:tcBorders>
              <w:top w:val="nil"/>
              <w:left w:val="nil"/>
              <w:bottom w:val="nil"/>
              <w:right w:val="nil"/>
            </w:tcBorders>
            <w:shd w:val="clear" w:color="000000" w:fill="FFFFFF"/>
            <w:noWrap/>
            <w:vAlign w:val="center"/>
          </w:tcPr>
          <w:p w14:paraId="6F32EC90">
            <w:pPr>
              <w:spacing w:line="480" w:lineRule="auto"/>
              <w:rPr>
                <w:rFonts w:eastAsia="Times New Roman" w:cs="Arial"/>
                <w:sz w:val="16"/>
                <w:szCs w:val="16"/>
                <w:lang w:eastAsia="es-CL"/>
              </w:rPr>
            </w:pPr>
            <w:r>
              <w:rPr>
                <w:rFonts w:eastAsia="Times New Roman" w:cs="Arial"/>
                <w:sz w:val="16"/>
                <w:szCs w:val="16"/>
                <w:lang w:eastAsia="es-CL"/>
              </w:rPr>
              <w:t>23,830</w:t>
            </w:r>
          </w:p>
        </w:tc>
        <w:tc>
          <w:tcPr>
            <w:tcW w:w="1134" w:type="dxa"/>
            <w:tcBorders>
              <w:top w:val="nil"/>
              <w:left w:val="nil"/>
              <w:bottom w:val="nil"/>
              <w:right w:val="nil"/>
            </w:tcBorders>
            <w:shd w:val="clear" w:color="000000" w:fill="FFFFFF"/>
            <w:vAlign w:val="center"/>
          </w:tcPr>
          <w:p w14:paraId="0FAA529E">
            <w:pPr>
              <w:spacing w:line="480" w:lineRule="auto"/>
              <w:rPr>
                <w:rFonts w:eastAsia="Times New Roman" w:cs="Arial"/>
                <w:sz w:val="16"/>
                <w:szCs w:val="16"/>
                <w:lang w:eastAsia="es-CL"/>
              </w:rPr>
            </w:pPr>
            <w:r>
              <w:rPr>
                <w:rFonts w:eastAsia="Times New Roman" w:cs="Arial"/>
                <w:sz w:val="16"/>
                <w:szCs w:val="16"/>
                <w:lang w:eastAsia="es-CL"/>
              </w:rPr>
              <w:t>23,750-23,950</w:t>
            </w:r>
          </w:p>
        </w:tc>
      </w:tr>
      <w:tr w14:paraId="0BC525B4">
        <w:tblPrEx>
          <w:tblCellMar>
            <w:top w:w="0" w:type="dxa"/>
            <w:left w:w="70" w:type="dxa"/>
            <w:bottom w:w="0" w:type="dxa"/>
            <w:right w:w="70" w:type="dxa"/>
          </w:tblCellMar>
        </w:tblPrEx>
        <w:trPr>
          <w:trHeight w:val="399" w:hRule="atLeast"/>
          <w:jc w:val="center"/>
        </w:trPr>
        <w:tc>
          <w:tcPr>
            <w:tcW w:w="1843" w:type="dxa"/>
            <w:tcBorders>
              <w:top w:val="nil"/>
              <w:left w:val="nil"/>
              <w:bottom w:val="nil"/>
              <w:right w:val="nil"/>
            </w:tcBorders>
            <w:shd w:val="clear" w:color="000000" w:fill="FFFFFF"/>
            <w:vAlign w:val="center"/>
          </w:tcPr>
          <w:p w14:paraId="1631AD54">
            <w:pPr>
              <w:spacing w:line="480" w:lineRule="auto"/>
              <w:rPr>
                <w:rFonts w:eastAsia="Times New Roman" w:cs="Arial"/>
                <w:sz w:val="16"/>
                <w:szCs w:val="16"/>
                <w:lang w:val="en-US" w:eastAsia="es-CL"/>
              </w:rPr>
            </w:pPr>
            <w:r>
              <w:rPr>
                <w:rFonts w:eastAsia="Times New Roman" w:cs="Arial"/>
                <w:i/>
                <w:iCs/>
                <w:sz w:val="16"/>
                <w:szCs w:val="16"/>
                <w:lang w:eastAsia="es-CL"/>
              </w:rPr>
              <w:t>Notiomastodon platensis</w:t>
            </w:r>
          </w:p>
        </w:tc>
        <w:tc>
          <w:tcPr>
            <w:tcW w:w="3969" w:type="dxa"/>
            <w:tcBorders>
              <w:top w:val="nil"/>
              <w:left w:val="nil"/>
              <w:bottom w:val="nil"/>
              <w:right w:val="nil"/>
            </w:tcBorders>
            <w:shd w:val="clear" w:color="000000" w:fill="FFFFFF"/>
            <w:noWrap/>
            <w:vAlign w:val="center"/>
          </w:tcPr>
          <w:p w14:paraId="0AD31DC0">
            <w:pPr>
              <w:spacing w:line="480" w:lineRule="auto"/>
              <w:rPr>
                <w:rFonts w:eastAsia="Times New Roman" w:cs="Arial"/>
                <w:sz w:val="16"/>
                <w:szCs w:val="16"/>
                <w:lang w:val="en-US" w:eastAsia="es-CL"/>
              </w:rPr>
            </w:pPr>
            <w:r>
              <w:rPr>
                <w:rFonts w:eastAsia="Times New Roman" w:cs="Arial"/>
                <w:sz w:val="16"/>
                <w:szCs w:val="16"/>
                <w:lang w:val="en-US" w:eastAsia="es-CL"/>
              </w:rPr>
              <w:t>La Merced/Pichincha (0°18'S, 78°24'W)</w:t>
            </w:r>
          </w:p>
        </w:tc>
        <w:tc>
          <w:tcPr>
            <w:tcW w:w="1134" w:type="dxa"/>
            <w:tcBorders>
              <w:top w:val="nil"/>
              <w:left w:val="nil"/>
              <w:bottom w:val="nil"/>
              <w:right w:val="nil"/>
            </w:tcBorders>
            <w:shd w:val="clear" w:color="000000" w:fill="FFFFFF"/>
            <w:noWrap/>
            <w:vAlign w:val="center"/>
          </w:tcPr>
          <w:p w14:paraId="602904FF">
            <w:pPr>
              <w:spacing w:line="480" w:lineRule="auto"/>
              <w:rPr>
                <w:rFonts w:eastAsia="Times New Roman" w:cs="Arial"/>
                <w:sz w:val="16"/>
                <w:szCs w:val="16"/>
                <w:lang w:eastAsia="es-CL"/>
              </w:rPr>
            </w:pPr>
            <w:r>
              <w:rPr>
                <w:rFonts w:eastAsia="Times New Roman" w:cs="Arial"/>
                <w:sz w:val="16"/>
                <w:szCs w:val="16"/>
                <w:lang w:eastAsia="es-CL"/>
              </w:rPr>
              <w:t>V-6143</w:t>
            </w:r>
          </w:p>
        </w:tc>
        <w:tc>
          <w:tcPr>
            <w:tcW w:w="1134" w:type="dxa"/>
            <w:tcBorders>
              <w:top w:val="nil"/>
              <w:left w:val="nil"/>
              <w:bottom w:val="nil"/>
              <w:right w:val="nil"/>
            </w:tcBorders>
            <w:shd w:val="clear" w:color="000000" w:fill="FFFFFF"/>
            <w:noWrap/>
            <w:vAlign w:val="center"/>
          </w:tcPr>
          <w:p w14:paraId="20B197F6">
            <w:pPr>
              <w:spacing w:line="480" w:lineRule="auto"/>
              <w:rPr>
                <w:rFonts w:eastAsia="Times New Roman" w:cs="Arial"/>
                <w:sz w:val="16"/>
                <w:szCs w:val="16"/>
                <w:lang w:eastAsia="es-CL"/>
              </w:rPr>
            </w:pPr>
            <w:r>
              <w:rPr>
                <w:rFonts w:eastAsia="Times New Roman" w:cs="Arial"/>
                <w:sz w:val="16"/>
                <w:szCs w:val="16"/>
                <w:lang w:eastAsia="es-CL"/>
              </w:rPr>
              <w:t>UGAMS-74815</w:t>
            </w:r>
          </w:p>
        </w:tc>
        <w:tc>
          <w:tcPr>
            <w:tcW w:w="709" w:type="dxa"/>
            <w:tcBorders>
              <w:top w:val="nil"/>
              <w:left w:val="nil"/>
              <w:bottom w:val="nil"/>
              <w:right w:val="nil"/>
            </w:tcBorders>
            <w:shd w:val="clear" w:color="000000" w:fill="FFFFFF"/>
            <w:noWrap/>
            <w:vAlign w:val="center"/>
          </w:tcPr>
          <w:p w14:paraId="581F6C5E">
            <w:pPr>
              <w:spacing w:line="480" w:lineRule="auto"/>
              <w:rPr>
                <w:rFonts w:eastAsia="Times New Roman" w:cs="Arial"/>
                <w:sz w:val="16"/>
                <w:szCs w:val="16"/>
                <w:lang w:eastAsia="es-CL"/>
              </w:rPr>
            </w:pPr>
            <w:r>
              <w:rPr>
                <w:rFonts w:eastAsia="Times New Roman" w:cs="Arial"/>
                <w:sz w:val="16"/>
                <w:szCs w:val="16"/>
                <w:lang w:eastAsia="es-CL"/>
              </w:rPr>
              <w:t>20,930</w:t>
            </w:r>
          </w:p>
        </w:tc>
        <w:tc>
          <w:tcPr>
            <w:tcW w:w="425" w:type="dxa"/>
            <w:tcBorders>
              <w:top w:val="nil"/>
              <w:left w:val="nil"/>
              <w:bottom w:val="nil"/>
              <w:right w:val="nil"/>
            </w:tcBorders>
            <w:shd w:val="clear" w:color="000000" w:fill="FFFFFF"/>
            <w:noWrap/>
            <w:vAlign w:val="center"/>
          </w:tcPr>
          <w:p w14:paraId="488D2E3C">
            <w:pPr>
              <w:spacing w:line="480" w:lineRule="auto"/>
              <w:rPr>
                <w:rFonts w:eastAsia="Times New Roman" w:cs="Arial"/>
                <w:sz w:val="16"/>
                <w:szCs w:val="16"/>
                <w:lang w:eastAsia="es-CL"/>
              </w:rPr>
            </w:pPr>
            <w:r>
              <w:rPr>
                <w:rFonts w:eastAsia="Times New Roman" w:cs="Arial"/>
                <w:sz w:val="16"/>
                <w:szCs w:val="16"/>
                <w:lang w:eastAsia="es-CL"/>
              </w:rPr>
              <w:t>60</w:t>
            </w:r>
          </w:p>
        </w:tc>
        <w:tc>
          <w:tcPr>
            <w:tcW w:w="851" w:type="dxa"/>
            <w:tcBorders>
              <w:top w:val="nil"/>
              <w:left w:val="nil"/>
              <w:bottom w:val="nil"/>
              <w:right w:val="nil"/>
            </w:tcBorders>
            <w:shd w:val="clear" w:color="000000" w:fill="FFFFFF"/>
            <w:noWrap/>
            <w:vAlign w:val="center"/>
          </w:tcPr>
          <w:p w14:paraId="6B3396B3">
            <w:pPr>
              <w:spacing w:line="480" w:lineRule="auto"/>
              <w:rPr>
                <w:rFonts w:eastAsia="Times New Roman" w:cs="Arial"/>
                <w:sz w:val="16"/>
                <w:szCs w:val="16"/>
                <w:lang w:eastAsia="es-CL"/>
              </w:rPr>
            </w:pPr>
            <w:r>
              <w:rPr>
                <w:rFonts w:eastAsia="Times New Roman" w:cs="Arial"/>
                <w:sz w:val="16"/>
                <w:szCs w:val="16"/>
                <w:lang w:eastAsia="es-CL"/>
              </w:rPr>
              <w:t>25,190</w:t>
            </w:r>
          </w:p>
        </w:tc>
        <w:tc>
          <w:tcPr>
            <w:tcW w:w="1134" w:type="dxa"/>
            <w:tcBorders>
              <w:top w:val="nil"/>
              <w:left w:val="nil"/>
              <w:bottom w:val="nil"/>
              <w:right w:val="nil"/>
            </w:tcBorders>
            <w:shd w:val="clear" w:color="000000" w:fill="FFFFFF"/>
            <w:vAlign w:val="center"/>
          </w:tcPr>
          <w:p w14:paraId="3529483D">
            <w:pPr>
              <w:spacing w:line="480" w:lineRule="auto"/>
              <w:rPr>
                <w:rFonts w:eastAsia="Times New Roman" w:cs="Arial"/>
                <w:sz w:val="16"/>
                <w:szCs w:val="16"/>
                <w:lang w:eastAsia="es-CL"/>
              </w:rPr>
            </w:pPr>
            <w:r>
              <w:rPr>
                <w:rFonts w:eastAsia="Times New Roman" w:cs="Arial"/>
                <w:sz w:val="16"/>
                <w:szCs w:val="16"/>
                <w:lang w:eastAsia="es-CL"/>
              </w:rPr>
              <w:t>25,000-25,340</w:t>
            </w:r>
          </w:p>
        </w:tc>
      </w:tr>
      <w:tr w14:paraId="0E82B0DA">
        <w:tblPrEx>
          <w:tblCellMar>
            <w:top w:w="0" w:type="dxa"/>
            <w:left w:w="70" w:type="dxa"/>
            <w:bottom w:w="0" w:type="dxa"/>
            <w:right w:w="70" w:type="dxa"/>
          </w:tblCellMar>
        </w:tblPrEx>
        <w:trPr>
          <w:trHeight w:val="399" w:hRule="atLeast"/>
          <w:jc w:val="center"/>
        </w:trPr>
        <w:tc>
          <w:tcPr>
            <w:tcW w:w="1843" w:type="dxa"/>
            <w:tcBorders>
              <w:top w:val="nil"/>
              <w:left w:val="nil"/>
              <w:right w:val="nil"/>
            </w:tcBorders>
            <w:shd w:val="clear" w:color="000000" w:fill="FFFFFF"/>
            <w:vAlign w:val="center"/>
          </w:tcPr>
          <w:p w14:paraId="25442031">
            <w:pPr>
              <w:spacing w:line="480" w:lineRule="auto"/>
              <w:rPr>
                <w:rFonts w:eastAsia="Times New Roman" w:cs="Arial"/>
                <w:sz w:val="16"/>
                <w:szCs w:val="16"/>
                <w:lang w:val="en-US" w:eastAsia="es-CL"/>
              </w:rPr>
            </w:pPr>
            <w:r>
              <w:rPr>
                <w:rFonts w:eastAsia="Times New Roman" w:cs="Arial"/>
                <w:i/>
                <w:iCs/>
                <w:sz w:val="16"/>
                <w:szCs w:val="16"/>
                <w:lang w:eastAsia="es-CL"/>
              </w:rPr>
              <w:t>Notiomastodon platensis</w:t>
            </w:r>
          </w:p>
        </w:tc>
        <w:tc>
          <w:tcPr>
            <w:tcW w:w="3969" w:type="dxa"/>
            <w:tcBorders>
              <w:top w:val="nil"/>
              <w:left w:val="nil"/>
              <w:right w:val="nil"/>
            </w:tcBorders>
            <w:shd w:val="clear" w:color="000000" w:fill="FFFFFF"/>
            <w:noWrap/>
            <w:vAlign w:val="center"/>
          </w:tcPr>
          <w:p w14:paraId="4193BB50">
            <w:pPr>
              <w:spacing w:line="480" w:lineRule="auto"/>
              <w:rPr>
                <w:rFonts w:eastAsia="Times New Roman" w:cs="Arial"/>
                <w:sz w:val="16"/>
                <w:szCs w:val="16"/>
                <w:lang w:val="en-US" w:eastAsia="es-CL"/>
              </w:rPr>
            </w:pPr>
            <w:r>
              <w:rPr>
                <w:rFonts w:eastAsia="Times New Roman" w:cs="Arial"/>
                <w:sz w:val="16"/>
                <w:szCs w:val="16"/>
                <w:lang w:val="en-US" w:eastAsia="es-CL"/>
              </w:rPr>
              <w:t>Quebrada Colorada/Chimborazo (1°46'S/78°39'W)</w:t>
            </w:r>
          </w:p>
        </w:tc>
        <w:tc>
          <w:tcPr>
            <w:tcW w:w="1134" w:type="dxa"/>
            <w:tcBorders>
              <w:top w:val="nil"/>
              <w:left w:val="nil"/>
              <w:right w:val="nil"/>
            </w:tcBorders>
            <w:shd w:val="clear" w:color="000000" w:fill="FFFFFF"/>
            <w:noWrap/>
            <w:vAlign w:val="center"/>
          </w:tcPr>
          <w:p w14:paraId="5B85B8CA">
            <w:pPr>
              <w:spacing w:line="480" w:lineRule="auto"/>
              <w:rPr>
                <w:rFonts w:eastAsia="Times New Roman" w:cs="Arial"/>
                <w:sz w:val="16"/>
                <w:szCs w:val="16"/>
                <w:lang w:eastAsia="es-CL"/>
              </w:rPr>
            </w:pPr>
            <w:r>
              <w:rPr>
                <w:rFonts w:eastAsia="Times New Roman" w:cs="Arial"/>
                <w:sz w:val="16"/>
                <w:szCs w:val="16"/>
                <w:lang w:eastAsia="es-CL"/>
              </w:rPr>
              <w:t>V-1254</w:t>
            </w:r>
          </w:p>
        </w:tc>
        <w:tc>
          <w:tcPr>
            <w:tcW w:w="1134" w:type="dxa"/>
            <w:tcBorders>
              <w:top w:val="nil"/>
              <w:left w:val="nil"/>
              <w:right w:val="nil"/>
            </w:tcBorders>
            <w:shd w:val="clear" w:color="000000" w:fill="FFFFFF"/>
            <w:noWrap/>
            <w:vAlign w:val="center"/>
          </w:tcPr>
          <w:p w14:paraId="340EF739">
            <w:pPr>
              <w:spacing w:line="480" w:lineRule="auto"/>
              <w:rPr>
                <w:rFonts w:eastAsia="Times New Roman" w:cs="Arial"/>
                <w:sz w:val="16"/>
                <w:szCs w:val="16"/>
                <w:lang w:eastAsia="es-CL"/>
              </w:rPr>
            </w:pPr>
            <w:r>
              <w:rPr>
                <w:rFonts w:eastAsia="Times New Roman" w:cs="Arial"/>
                <w:sz w:val="16"/>
                <w:szCs w:val="16"/>
                <w:lang w:eastAsia="es-CL"/>
              </w:rPr>
              <w:t>UGAMS-74816</w:t>
            </w:r>
          </w:p>
        </w:tc>
        <w:tc>
          <w:tcPr>
            <w:tcW w:w="709" w:type="dxa"/>
            <w:tcBorders>
              <w:top w:val="nil"/>
              <w:left w:val="nil"/>
              <w:right w:val="nil"/>
            </w:tcBorders>
            <w:shd w:val="clear" w:color="000000" w:fill="FFFFFF"/>
            <w:noWrap/>
            <w:vAlign w:val="center"/>
          </w:tcPr>
          <w:p w14:paraId="3D2F1761">
            <w:pPr>
              <w:spacing w:line="480" w:lineRule="auto"/>
              <w:rPr>
                <w:rFonts w:eastAsia="Times New Roman" w:cs="Arial"/>
                <w:sz w:val="16"/>
                <w:szCs w:val="16"/>
                <w:lang w:eastAsia="es-CL"/>
              </w:rPr>
            </w:pPr>
            <w:r>
              <w:rPr>
                <w:rFonts w:eastAsia="Times New Roman" w:cs="Arial"/>
                <w:sz w:val="16"/>
                <w:szCs w:val="16"/>
                <w:lang w:eastAsia="es-CL"/>
              </w:rPr>
              <w:t>27,960</w:t>
            </w:r>
          </w:p>
        </w:tc>
        <w:tc>
          <w:tcPr>
            <w:tcW w:w="425" w:type="dxa"/>
            <w:tcBorders>
              <w:top w:val="nil"/>
              <w:left w:val="nil"/>
              <w:right w:val="nil"/>
            </w:tcBorders>
            <w:shd w:val="clear" w:color="000000" w:fill="FFFFFF"/>
            <w:noWrap/>
            <w:vAlign w:val="center"/>
          </w:tcPr>
          <w:p w14:paraId="52A0BDA0">
            <w:pPr>
              <w:spacing w:line="480" w:lineRule="auto"/>
              <w:rPr>
                <w:rFonts w:eastAsia="Times New Roman" w:cs="Arial"/>
                <w:sz w:val="16"/>
                <w:szCs w:val="16"/>
                <w:lang w:eastAsia="es-CL"/>
              </w:rPr>
            </w:pPr>
            <w:r>
              <w:rPr>
                <w:rFonts w:eastAsia="Times New Roman" w:cs="Arial"/>
                <w:sz w:val="16"/>
                <w:szCs w:val="16"/>
                <w:lang w:eastAsia="es-CL"/>
              </w:rPr>
              <w:t>90</w:t>
            </w:r>
          </w:p>
        </w:tc>
        <w:tc>
          <w:tcPr>
            <w:tcW w:w="851" w:type="dxa"/>
            <w:tcBorders>
              <w:top w:val="nil"/>
              <w:left w:val="nil"/>
              <w:right w:val="nil"/>
            </w:tcBorders>
            <w:shd w:val="clear" w:color="000000" w:fill="FFFFFF"/>
            <w:noWrap/>
            <w:vAlign w:val="center"/>
          </w:tcPr>
          <w:p w14:paraId="7B9797B6">
            <w:pPr>
              <w:spacing w:line="480" w:lineRule="auto"/>
              <w:rPr>
                <w:rFonts w:eastAsia="Times New Roman" w:cs="Arial"/>
                <w:sz w:val="16"/>
                <w:szCs w:val="16"/>
                <w:lang w:eastAsia="es-CL"/>
              </w:rPr>
            </w:pPr>
            <w:r>
              <w:rPr>
                <w:rFonts w:eastAsia="Times New Roman" w:cs="Arial"/>
                <w:sz w:val="16"/>
                <w:szCs w:val="16"/>
                <w:lang w:eastAsia="es-CL"/>
              </w:rPr>
              <w:t>31,820</w:t>
            </w:r>
          </w:p>
        </w:tc>
        <w:tc>
          <w:tcPr>
            <w:tcW w:w="1134" w:type="dxa"/>
            <w:tcBorders>
              <w:top w:val="nil"/>
              <w:left w:val="nil"/>
              <w:right w:val="nil"/>
            </w:tcBorders>
            <w:shd w:val="clear" w:color="000000" w:fill="FFFFFF"/>
            <w:vAlign w:val="center"/>
          </w:tcPr>
          <w:p w14:paraId="01A4133D">
            <w:pPr>
              <w:spacing w:line="480" w:lineRule="auto"/>
              <w:rPr>
                <w:rFonts w:eastAsia="Times New Roman" w:cs="Arial"/>
                <w:sz w:val="16"/>
                <w:szCs w:val="16"/>
                <w:lang w:eastAsia="es-CL"/>
              </w:rPr>
            </w:pPr>
            <w:r>
              <w:rPr>
                <w:rFonts w:eastAsia="Times New Roman" w:cs="Arial"/>
                <w:sz w:val="16"/>
                <w:szCs w:val="16"/>
                <w:lang w:eastAsia="es-CL"/>
              </w:rPr>
              <w:t>31,600-32,060</w:t>
            </w:r>
          </w:p>
        </w:tc>
      </w:tr>
      <w:tr w14:paraId="14DCCA91">
        <w:tblPrEx>
          <w:tblCellMar>
            <w:top w:w="0" w:type="dxa"/>
            <w:left w:w="70" w:type="dxa"/>
            <w:bottom w:w="0" w:type="dxa"/>
            <w:right w:w="70" w:type="dxa"/>
          </w:tblCellMar>
        </w:tblPrEx>
        <w:trPr>
          <w:trHeight w:val="399" w:hRule="atLeast"/>
          <w:jc w:val="center"/>
        </w:trPr>
        <w:tc>
          <w:tcPr>
            <w:tcW w:w="1843" w:type="dxa"/>
            <w:tcBorders>
              <w:top w:val="nil"/>
              <w:left w:val="nil"/>
              <w:bottom w:val="single" w:color="auto" w:sz="4" w:space="0"/>
              <w:right w:val="nil"/>
            </w:tcBorders>
            <w:shd w:val="clear" w:color="000000" w:fill="FFFFFF"/>
            <w:vAlign w:val="center"/>
          </w:tcPr>
          <w:p w14:paraId="46C75CAF">
            <w:pPr>
              <w:spacing w:line="480" w:lineRule="auto"/>
              <w:rPr>
                <w:rFonts w:eastAsia="Times New Roman" w:cs="Arial"/>
                <w:sz w:val="16"/>
                <w:szCs w:val="16"/>
                <w:lang w:val="en-US" w:eastAsia="es-CL"/>
              </w:rPr>
            </w:pPr>
            <w:r>
              <w:rPr>
                <w:rFonts w:eastAsia="Times New Roman" w:cs="Arial"/>
                <w:i/>
                <w:iCs/>
                <w:sz w:val="16"/>
                <w:szCs w:val="16"/>
                <w:lang w:eastAsia="es-CL"/>
              </w:rPr>
              <w:t>Notiomastodon platensis</w:t>
            </w:r>
          </w:p>
        </w:tc>
        <w:tc>
          <w:tcPr>
            <w:tcW w:w="3969" w:type="dxa"/>
            <w:tcBorders>
              <w:top w:val="nil"/>
              <w:left w:val="nil"/>
              <w:bottom w:val="single" w:color="auto" w:sz="4" w:space="0"/>
              <w:right w:val="nil"/>
            </w:tcBorders>
            <w:shd w:val="clear" w:color="000000" w:fill="FFFFFF"/>
            <w:noWrap/>
            <w:vAlign w:val="center"/>
          </w:tcPr>
          <w:p w14:paraId="693B8179">
            <w:pPr>
              <w:spacing w:line="480" w:lineRule="auto"/>
              <w:rPr>
                <w:rFonts w:eastAsia="Times New Roman" w:cs="Arial"/>
                <w:sz w:val="16"/>
                <w:szCs w:val="16"/>
                <w:lang w:val="en-US" w:eastAsia="es-CL"/>
              </w:rPr>
            </w:pPr>
            <w:r>
              <w:rPr>
                <w:rFonts w:eastAsia="Times New Roman" w:cs="Arial"/>
                <w:sz w:val="16"/>
                <w:szCs w:val="16"/>
                <w:lang w:val="en-US" w:eastAsia="es-CL"/>
              </w:rPr>
              <w:t>Río California, Cuzubamba/Cotopaxi (1°5'54.1S/78°41'W)</w:t>
            </w:r>
          </w:p>
        </w:tc>
        <w:tc>
          <w:tcPr>
            <w:tcW w:w="1134" w:type="dxa"/>
            <w:tcBorders>
              <w:top w:val="nil"/>
              <w:left w:val="nil"/>
              <w:bottom w:val="single" w:color="auto" w:sz="4" w:space="0"/>
              <w:right w:val="nil"/>
            </w:tcBorders>
            <w:shd w:val="clear" w:color="000000" w:fill="FFFFFF"/>
            <w:noWrap/>
            <w:vAlign w:val="center"/>
          </w:tcPr>
          <w:p w14:paraId="2AE2E3AA">
            <w:pPr>
              <w:spacing w:line="480" w:lineRule="auto"/>
              <w:rPr>
                <w:rFonts w:eastAsia="Times New Roman" w:cs="Arial"/>
                <w:sz w:val="16"/>
                <w:szCs w:val="16"/>
                <w:lang w:eastAsia="es-CL"/>
              </w:rPr>
            </w:pPr>
            <w:r>
              <w:rPr>
                <w:rFonts w:eastAsia="Times New Roman" w:cs="Arial"/>
                <w:sz w:val="16"/>
                <w:szCs w:val="16"/>
                <w:lang w:eastAsia="es-CL"/>
              </w:rPr>
              <w:t>V-5780</w:t>
            </w:r>
          </w:p>
        </w:tc>
        <w:tc>
          <w:tcPr>
            <w:tcW w:w="1134" w:type="dxa"/>
            <w:tcBorders>
              <w:top w:val="nil"/>
              <w:left w:val="nil"/>
              <w:bottom w:val="single" w:color="auto" w:sz="4" w:space="0"/>
              <w:right w:val="nil"/>
            </w:tcBorders>
            <w:shd w:val="clear" w:color="000000" w:fill="FFFFFF"/>
            <w:noWrap/>
            <w:vAlign w:val="center"/>
          </w:tcPr>
          <w:p w14:paraId="5D44A907">
            <w:pPr>
              <w:spacing w:line="480" w:lineRule="auto"/>
              <w:rPr>
                <w:rFonts w:eastAsia="Times New Roman" w:cs="Arial"/>
                <w:sz w:val="16"/>
                <w:szCs w:val="16"/>
                <w:lang w:eastAsia="es-CL"/>
              </w:rPr>
            </w:pPr>
            <w:r>
              <w:rPr>
                <w:rFonts w:eastAsia="Times New Roman" w:cs="Arial"/>
                <w:sz w:val="16"/>
                <w:szCs w:val="16"/>
                <w:lang w:eastAsia="es-CL"/>
              </w:rPr>
              <w:t>UGAMS-74817</w:t>
            </w:r>
          </w:p>
        </w:tc>
        <w:tc>
          <w:tcPr>
            <w:tcW w:w="709" w:type="dxa"/>
            <w:tcBorders>
              <w:top w:val="nil"/>
              <w:left w:val="nil"/>
              <w:bottom w:val="single" w:color="auto" w:sz="4" w:space="0"/>
              <w:right w:val="nil"/>
            </w:tcBorders>
            <w:shd w:val="clear" w:color="000000" w:fill="FFFFFF"/>
            <w:noWrap/>
            <w:vAlign w:val="center"/>
          </w:tcPr>
          <w:p w14:paraId="2E155B31">
            <w:pPr>
              <w:spacing w:line="480" w:lineRule="auto"/>
              <w:rPr>
                <w:rFonts w:eastAsia="Times New Roman" w:cs="Arial"/>
                <w:sz w:val="16"/>
                <w:szCs w:val="16"/>
                <w:lang w:eastAsia="es-CL"/>
              </w:rPr>
            </w:pPr>
            <w:r>
              <w:rPr>
                <w:rFonts w:eastAsia="Times New Roman" w:cs="Arial"/>
                <w:sz w:val="16"/>
                <w:szCs w:val="16"/>
                <w:lang w:eastAsia="es-CL"/>
              </w:rPr>
              <w:t>25,120</w:t>
            </w:r>
          </w:p>
        </w:tc>
        <w:tc>
          <w:tcPr>
            <w:tcW w:w="425" w:type="dxa"/>
            <w:tcBorders>
              <w:top w:val="nil"/>
              <w:left w:val="nil"/>
              <w:bottom w:val="single" w:color="auto" w:sz="4" w:space="0"/>
              <w:right w:val="nil"/>
            </w:tcBorders>
            <w:shd w:val="clear" w:color="000000" w:fill="FFFFFF"/>
            <w:noWrap/>
            <w:vAlign w:val="center"/>
          </w:tcPr>
          <w:p w14:paraId="045844FD">
            <w:pPr>
              <w:spacing w:line="480" w:lineRule="auto"/>
              <w:rPr>
                <w:rFonts w:eastAsia="Times New Roman" w:cs="Arial"/>
                <w:sz w:val="16"/>
                <w:szCs w:val="16"/>
                <w:lang w:eastAsia="es-CL"/>
              </w:rPr>
            </w:pPr>
            <w:r>
              <w:rPr>
                <w:rFonts w:eastAsia="Times New Roman" w:cs="Arial"/>
                <w:sz w:val="16"/>
                <w:szCs w:val="16"/>
                <w:lang w:eastAsia="es-CL"/>
              </w:rPr>
              <w:t>70</w:t>
            </w:r>
          </w:p>
        </w:tc>
        <w:tc>
          <w:tcPr>
            <w:tcW w:w="851" w:type="dxa"/>
            <w:tcBorders>
              <w:top w:val="nil"/>
              <w:left w:val="nil"/>
              <w:bottom w:val="single" w:color="auto" w:sz="4" w:space="0"/>
              <w:right w:val="nil"/>
            </w:tcBorders>
            <w:shd w:val="clear" w:color="000000" w:fill="FFFFFF"/>
            <w:noWrap/>
            <w:vAlign w:val="center"/>
          </w:tcPr>
          <w:p w14:paraId="495B5DC0">
            <w:pPr>
              <w:spacing w:line="480" w:lineRule="auto"/>
              <w:rPr>
                <w:rFonts w:eastAsia="Times New Roman" w:cs="Arial"/>
                <w:sz w:val="16"/>
                <w:szCs w:val="16"/>
                <w:lang w:eastAsia="es-CL"/>
              </w:rPr>
            </w:pPr>
            <w:r>
              <w:rPr>
                <w:rFonts w:eastAsia="Times New Roman" w:cs="Arial"/>
                <w:sz w:val="16"/>
                <w:szCs w:val="16"/>
                <w:lang w:eastAsia="es-CL"/>
              </w:rPr>
              <w:t>29,260</w:t>
            </w:r>
          </w:p>
        </w:tc>
        <w:tc>
          <w:tcPr>
            <w:tcW w:w="1134" w:type="dxa"/>
            <w:tcBorders>
              <w:top w:val="nil"/>
              <w:left w:val="nil"/>
              <w:bottom w:val="single" w:color="auto" w:sz="4" w:space="0"/>
              <w:right w:val="nil"/>
            </w:tcBorders>
            <w:shd w:val="clear" w:color="000000" w:fill="FFFFFF"/>
            <w:vAlign w:val="center"/>
          </w:tcPr>
          <w:p w14:paraId="51285F4C">
            <w:pPr>
              <w:spacing w:line="480" w:lineRule="auto"/>
              <w:rPr>
                <w:rFonts w:eastAsia="Times New Roman" w:cs="Arial"/>
                <w:sz w:val="16"/>
                <w:szCs w:val="16"/>
                <w:lang w:eastAsia="es-CL"/>
              </w:rPr>
            </w:pPr>
            <w:r>
              <w:rPr>
                <w:rFonts w:eastAsia="Times New Roman" w:cs="Arial"/>
                <w:sz w:val="16"/>
                <w:szCs w:val="16"/>
                <w:lang w:eastAsia="es-CL"/>
              </w:rPr>
              <w:t>29,130-29,630</w:t>
            </w:r>
          </w:p>
        </w:tc>
      </w:tr>
    </w:tbl>
    <w:p w14:paraId="7553DBFD">
      <w:pPr>
        <w:rPr>
          <w:lang w:val="en-US"/>
        </w:rPr>
      </w:pPr>
    </w:p>
    <w:p w14:paraId="2D2B6568">
      <w:pPr>
        <w:rPr>
          <w:lang w:val="en-US"/>
        </w:rPr>
      </w:pPr>
    </w:p>
    <w:p w14:paraId="3989B4C9">
      <w:pPr>
        <w:jc w:val="both"/>
        <w:rPr>
          <w:rFonts w:ascii="Arial" w:hAnsi="Arial" w:cs="Arial"/>
          <w:b/>
          <w:bCs/>
          <w:sz w:val="22"/>
          <w:szCs w:val="22"/>
          <w:lang w:val="en-US"/>
        </w:rPr>
      </w:pPr>
    </w:p>
    <w:p w14:paraId="07657E4A">
      <w:pPr>
        <w:jc w:val="both"/>
        <w:rPr>
          <w:rFonts w:ascii="Arial" w:hAnsi="Arial" w:cs="Arial"/>
          <w:b/>
          <w:bCs/>
          <w:sz w:val="22"/>
          <w:szCs w:val="22"/>
          <w:lang w:val="en-US"/>
        </w:rPr>
      </w:pPr>
    </w:p>
    <w:p w14:paraId="082D6FCD">
      <w:pPr>
        <w:jc w:val="both"/>
        <w:rPr>
          <w:rFonts w:ascii="Arial" w:hAnsi="Arial" w:cs="Arial"/>
          <w:b/>
          <w:bCs/>
          <w:sz w:val="22"/>
          <w:szCs w:val="22"/>
          <w:lang w:val="en-US"/>
        </w:rPr>
      </w:pPr>
    </w:p>
    <w:p w14:paraId="16351D59">
      <w:pPr>
        <w:jc w:val="both"/>
        <w:rPr>
          <w:rFonts w:ascii="Arial" w:hAnsi="Arial" w:cs="Arial"/>
          <w:b/>
          <w:bCs/>
          <w:sz w:val="22"/>
          <w:szCs w:val="22"/>
          <w:lang w:val="en-US"/>
        </w:rPr>
      </w:pPr>
    </w:p>
    <w:p w14:paraId="1E46F081">
      <w:pPr>
        <w:jc w:val="both"/>
        <w:rPr>
          <w:rFonts w:ascii="Arial" w:hAnsi="Arial" w:cs="Arial"/>
          <w:b/>
          <w:bCs/>
          <w:sz w:val="22"/>
          <w:szCs w:val="22"/>
          <w:lang w:val="en-US"/>
        </w:rPr>
      </w:pPr>
    </w:p>
    <w:p w14:paraId="707AFD7A">
      <w:pPr>
        <w:jc w:val="both"/>
        <w:rPr>
          <w:rFonts w:ascii="Arial" w:hAnsi="Arial" w:cs="Arial"/>
          <w:b/>
          <w:bCs/>
          <w:sz w:val="22"/>
          <w:szCs w:val="22"/>
          <w:lang w:val="en-US"/>
        </w:rPr>
      </w:pPr>
    </w:p>
    <w:p w14:paraId="7682A1B9">
      <w:pPr>
        <w:jc w:val="both"/>
        <w:rPr>
          <w:rFonts w:ascii="Arial" w:hAnsi="Arial" w:cs="Arial"/>
          <w:b/>
          <w:bCs/>
          <w:sz w:val="22"/>
          <w:szCs w:val="22"/>
          <w:lang w:val="en-US"/>
        </w:rPr>
      </w:pPr>
    </w:p>
    <w:p w14:paraId="2318D110">
      <w:pPr>
        <w:jc w:val="both"/>
        <w:rPr>
          <w:rFonts w:ascii="Arial" w:hAnsi="Arial" w:cs="Arial"/>
          <w:b/>
          <w:bCs/>
          <w:sz w:val="22"/>
          <w:szCs w:val="22"/>
          <w:lang w:val="en-US"/>
        </w:rPr>
      </w:pPr>
    </w:p>
    <w:p w14:paraId="7D3E42FF">
      <w:pPr>
        <w:jc w:val="both"/>
        <w:rPr>
          <w:rFonts w:ascii="Arial" w:hAnsi="Arial" w:cs="Arial"/>
          <w:b/>
          <w:bCs/>
          <w:sz w:val="22"/>
          <w:szCs w:val="22"/>
          <w:lang w:val="en-US"/>
        </w:rPr>
      </w:pPr>
    </w:p>
    <w:p w14:paraId="22DA4919">
      <w:pPr>
        <w:jc w:val="both"/>
        <w:rPr>
          <w:rFonts w:ascii="Arial" w:hAnsi="Arial" w:cs="Arial"/>
          <w:b/>
          <w:bCs/>
          <w:sz w:val="22"/>
          <w:szCs w:val="22"/>
          <w:lang w:val="en-US"/>
        </w:rPr>
      </w:pPr>
    </w:p>
    <w:p w14:paraId="5E1091F4">
      <w:pPr>
        <w:jc w:val="both"/>
        <w:rPr>
          <w:rFonts w:ascii="Arial" w:hAnsi="Arial" w:cs="Arial"/>
          <w:b/>
          <w:bCs/>
          <w:sz w:val="22"/>
          <w:szCs w:val="22"/>
          <w:lang w:val="en-US"/>
        </w:rPr>
      </w:pPr>
    </w:p>
    <w:p w14:paraId="1B69C6FB">
      <w:pPr>
        <w:jc w:val="both"/>
        <w:rPr>
          <w:rFonts w:ascii="Arial" w:hAnsi="Arial" w:cs="Arial"/>
          <w:b/>
          <w:bCs/>
          <w:sz w:val="22"/>
          <w:szCs w:val="22"/>
          <w:lang w:val="en-US"/>
        </w:rPr>
      </w:pPr>
    </w:p>
    <w:p w14:paraId="4E4DAB1F">
      <w:pPr>
        <w:jc w:val="both"/>
        <w:rPr>
          <w:rFonts w:ascii="Arial" w:hAnsi="Arial" w:cs="Arial"/>
          <w:b/>
          <w:bCs/>
          <w:sz w:val="22"/>
          <w:szCs w:val="22"/>
          <w:lang w:val="en-US"/>
        </w:rPr>
      </w:pPr>
    </w:p>
    <w:p w14:paraId="731DDEFB">
      <w:pPr>
        <w:jc w:val="both"/>
        <w:rPr>
          <w:rFonts w:ascii="Arial" w:hAnsi="Arial" w:cs="Arial"/>
          <w:b/>
          <w:bCs/>
          <w:sz w:val="22"/>
          <w:szCs w:val="22"/>
          <w:lang w:val="en-US"/>
        </w:rPr>
      </w:pPr>
    </w:p>
    <w:p w14:paraId="1CB7240F">
      <w:pPr>
        <w:spacing w:line="480" w:lineRule="auto"/>
        <w:jc w:val="both"/>
        <w:rPr>
          <w:rFonts w:ascii="Arial" w:hAnsi="Arial" w:cs="Arial"/>
          <w:sz w:val="22"/>
          <w:szCs w:val="22"/>
          <w:lang w:val="en-US"/>
        </w:rPr>
      </w:pPr>
    </w:p>
    <w:p w14:paraId="72094DDC">
      <w:pPr>
        <w:spacing w:line="480" w:lineRule="auto"/>
        <w:jc w:val="both"/>
        <w:rPr>
          <w:rFonts w:ascii="Arial" w:hAnsi="Arial" w:cs="Arial"/>
          <w:sz w:val="22"/>
          <w:szCs w:val="22"/>
          <w:lang w:val="en-US"/>
        </w:rPr>
      </w:pPr>
    </w:p>
    <w:p w14:paraId="280218AC">
      <w:pPr>
        <w:spacing w:line="480" w:lineRule="auto"/>
        <w:jc w:val="both"/>
        <w:rPr>
          <w:rFonts w:ascii="Arial" w:hAnsi="Arial" w:cs="Arial"/>
          <w:sz w:val="22"/>
          <w:szCs w:val="22"/>
          <w:lang w:val="en-US"/>
        </w:rPr>
      </w:pPr>
    </w:p>
    <w:p w14:paraId="48421D3B">
      <w:pPr>
        <w:jc w:val="both"/>
        <w:rPr>
          <w:rFonts w:ascii="Arial" w:hAnsi="Arial" w:cs="Arial"/>
          <w:b/>
          <w:bCs/>
          <w:sz w:val="22"/>
          <w:szCs w:val="22"/>
          <w:lang w:val="en-US"/>
        </w:rPr>
      </w:pPr>
    </w:p>
    <w:p w14:paraId="586DE2A7">
      <w:pPr>
        <w:jc w:val="both"/>
        <w:rPr>
          <w:rFonts w:ascii="Arial" w:hAnsi="Arial" w:cs="Arial"/>
          <w:b/>
          <w:bCs/>
          <w:sz w:val="22"/>
          <w:szCs w:val="22"/>
          <w:lang w:val="en-US"/>
        </w:rPr>
      </w:pPr>
    </w:p>
    <w:p w14:paraId="44DB4C89">
      <w:pPr>
        <w:jc w:val="both"/>
        <w:rPr>
          <w:rFonts w:ascii="Arial" w:hAnsi="Arial" w:cs="Arial"/>
          <w:b/>
          <w:bCs/>
          <w:sz w:val="22"/>
          <w:szCs w:val="22"/>
          <w:lang w:val="en-US"/>
        </w:rPr>
      </w:pPr>
    </w:p>
    <w:p w14:paraId="146E2CEF">
      <w:pPr>
        <w:jc w:val="both"/>
        <w:rPr>
          <w:rFonts w:ascii="Arial" w:hAnsi="Arial" w:cs="Arial"/>
          <w:b/>
          <w:bCs/>
          <w:sz w:val="22"/>
          <w:szCs w:val="22"/>
          <w:lang w:val="en-US"/>
        </w:rPr>
      </w:pPr>
    </w:p>
    <w:p w14:paraId="67BC7412">
      <w:pPr>
        <w:jc w:val="both"/>
        <w:rPr>
          <w:rFonts w:ascii="Arial" w:hAnsi="Arial" w:cs="Arial"/>
          <w:b/>
          <w:bCs/>
          <w:sz w:val="22"/>
          <w:szCs w:val="22"/>
          <w:lang w:val="en-US"/>
        </w:rPr>
      </w:pPr>
    </w:p>
    <w:p w14:paraId="1EA62485">
      <w:pPr>
        <w:jc w:val="both"/>
        <w:rPr>
          <w:rFonts w:ascii="Arial" w:hAnsi="Arial" w:cs="Arial"/>
          <w:b/>
          <w:bCs/>
          <w:sz w:val="22"/>
          <w:szCs w:val="22"/>
          <w:lang w:val="en-US"/>
        </w:rPr>
      </w:pPr>
    </w:p>
    <w:p w14:paraId="79E36B11">
      <w:pPr>
        <w:jc w:val="both"/>
        <w:rPr>
          <w:rFonts w:ascii="Arial" w:hAnsi="Arial" w:cs="Arial"/>
          <w:b/>
          <w:bCs/>
          <w:sz w:val="22"/>
          <w:szCs w:val="22"/>
          <w:lang w:val="en-US"/>
        </w:rPr>
      </w:pPr>
    </w:p>
    <w:p w14:paraId="3DEEBB15">
      <w:pPr>
        <w:jc w:val="both"/>
        <w:rPr>
          <w:rFonts w:ascii="Arial" w:hAnsi="Arial" w:cs="Arial"/>
          <w:sz w:val="22"/>
          <w:szCs w:val="22"/>
          <w:lang w:val="en-US"/>
        </w:rPr>
      </w:pPr>
    </w:p>
    <w:p w14:paraId="5981B60F">
      <w:pPr>
        <w:jc w:val="both"/>
        <w:rPr>
          <w:rFonts w:ascii="Arial" w:hAnsi="Arial" w:cs="Arial"/>
          <w:sz w:val="22"/>
          <w:szCs w:val="22"/>
          <w:u w:val="single"/>
          <w:lang w:val="en-US"/>
        </w:rPr>
      </w:pPr>
    </w:p>
    <w:p w14:paraId="60324154">
      <w:pPr>
        <w:jc w:val="both"/>
        <w:rPr>
          <w:rFonts w:ascii="Arial" w:hAnsi="Arial" w:cs="Arial"/>
          <w:sz w:val="22"/>
          <w:szCs w:val="22"/>
          <w:u w:val="single"/>
          <w:lang w:val="en-US"/>
        </w:rPr>
      </w:pPr>
    </w:p>
    <w:p w14:paraId="0301123B">
      <w:pPr>
        <w:jc w:val="both"/>
        <w:rPr>
          <w:rFonts w:ascii="Arial" w:hAnsi="Arial" w:cs="Arial"/>
          <w:sz w:val="22"/>
          <w:szCs w:val="22"/>
          <w:lang w:val="en-US"/>
        </w:rPr>
      </w:pPr>
    </w:p>
    <w:p w14:paraId="5B250553">
      <w:pPr>
        <w:jc w:val="both"/>
        <w:rPr>
          <w:rFonts w:ascii="Arial" w:hAnsi="Arial" w:cs="Arial"/>
          <w:sz w:val="22"/>
          <w:szCs w:val="22"/>
          <w:lang w:val="en-US"/>
        </w:rPr>
      </w:pPr>
    </w:p>
    <w:p w14:paraId="364A1B38">
      <w:pPr>
        <w:jc w:val="both"/>
        <w:rPr>
          <w:rFonts w:ascii="Arial" w:hAnsi="Arial" w:cs="Arial"/>
          <w:sz w:val="22"/>
          <w:szCs w:val="22"/>
          <w:lang w:val="en-US"/>
        </w:rPr>
      </w:pPr>
    </w:p>
    <w:p w14:paraId="54030A8F">
      <w:pPr>
        <w:jc w:val="both"/>
        <w:rPr>
          <w:rFonts w:ascii="Arial" w:hAnsi="Arial" w:cs="Arial"/>
          <w:sz w:val="22"/>
          <w:szCs w:val="22"/>
          <w:lang w:val="en-US"/>
        </w:rPr>
      </w:pPr>
    </w:p>
    <w:p w14:paraId="13B8FA47">
      <w:pPr>
        <w:jc w:val="both"/>
        <w:rPr>
          <w:rFonts w:ascii="Arial" w:hAnsi="Arial" w:cs="Arial"/>
          <w:sz w:val="22"/>
          <w:szCs w:val="22"/>
          <w:lang w:val="en-US"/>
        </w:rPr>
      </w:pPr>
    </w:p>
    <w:p w14:paraId="3A661F9B">
      <w:pPr>
        <w:jc w:val="both"/>
        <w:rPr>
          <w:rFonts w:ascii="Arial" w:hAnsi="Arial" w:cs="Arial"/>
          <w:sz w:val="22"/>
          <w:szCs w:val="22"/>
          <w:lang w:val="en-US"/>
        </w:rPr>
      </w:pPr>
    </w:p>
    <w:p w14:paraId="7AD73E6B">
      <w:pPr>
        <w:jc w:val="both"/>
        <w:rPr>
          <w:rFonts w:ascii="Arial" w:hAnsi="Arial" w:cs="Arial"/>
          <w:sz w:val="22"/>
          <w:szCs w:val="22"/>
          <w:lang w:val="en-US"/>
        </w:rPr>
      </w:pPr>
    </w:p>
    <w:p w14:paraId="2E828928">
      <w:pPr>
        <w:rPr>
          <w:rFonts w:ascii="Arial" w:hAnsi="Arial" w:cs="Arial"/>
          <w:sz w:val="22"/>
          <w:szCs w:val="22"/>
          <w:lang w:val="en-US"/>
        </w:rPr>
      </w:pPr>
    </w:p>
    <w:p w14:paraId="60D487CA">
      <w:pPr>
        <w:rPr>
          <w:rFonts w:ascii="Arial" w:hAnsi="Arial" w:cs="Arial"/>
          <w:b/>
          <w:bCs/>
          <w:sz w:val="22"/>
          <w:szCs w:val="22"/>
          <w:lang w:val="en-US"/>
        </w:rPr>
      </w:pPr>
    </w:p>
    <w:p w14:paraId="546A3C6E">
      <w:pPr>
        <w:rPr>
          <w:rFonts w:ascii="Arial" w:hAnsi="Arial" w:cs="Arial"/>
          <w:b/>
          <w:bCs/>
          <w:sz w:val="22"/>
          <w:szCs w:val="22"/>
          <w:lang w:val="en-US"/>
        </w:rPr>
      </w:pPr>
    </w:p>
    <w:p w14:paraId="0A9D1EF5">
      <w:pPr>
        <w:rPr>
          <w:rFonts w:ascii="Arial" w:hAnsi="Arial" w:cs="Arial"/>
          <w:sz w:val="22"/>
          <w:szCs w:val="22"/>
          <w:lang w:val="en-US"/>
        </w:rPr>
      </w:pPr>
    </w:p>
    <w:p w14:paraId="484A24E6">
      <w:pPr>
        <w:rPr>
          <w:rFonts w:ascii="Arial" w:hAnsi="Arial" w:cs="Arial"/>
          <w:sz w:val="22"/>
          <w:szCs w:val="22"/>
          <w:lang w:val="en-US"/>
        </w:rPr>
      </w:pPr>
    </w:p>
    <w:sectPr>
      <w:footerReference r:id="rId3" w:type="default"/>
      <w:footerReference r:id="rId4" w:type="even"/>
      <w:pgSz w:w="11900" w:h="16840"/>
      <w:pgMar w:top="1417" w:right="1701" w:bottom="1417" w:left="1701" w:header="708" w:footer="708" w:gutter="0"/>
      <w:lnNumType w:countBy="1" w:restart="continuous"/>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200247B" w:usb2="00000009" w:usb3="00000000" w:csb0="200001FF" w:csb1="00000000"/>
  </w:font>
  <w:font w:name="Helvetica">
    <w:altName w:val="Arial"/>
    <w:panose1 w:val="00000000000000000000"/>
    <w:charset w:val="00"/>
    <w:family w:val="auto"/>
    <w:pitch w:val="default"/>
    <w:sig w:usb0="00000000" w:usb1="00000000" w:usb2="00000000" w:usb3="00000000" w:csb0="0000019F" w:csb1="00000000"/>
  </w:font>
  <w:font w:name="Symbol">
    <w:panose1 w:val="05050102010706020507"/>
    <w:charset w:val="02"/>
    <w:family w:val="decorative"/>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Open Sans">
    <w:altName w:val="Times New Roman"/>
    <w:panose1 w:val="020B0604020202020204"/>
    <w:charset w:val="00"/>
    <w:family w:val="swiss"/>
    <w:pitch w:val="default"/>
    <w:sig w:usb0="00000000" w:usb1="00000000"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15"/>
      </w:rPr>
      <w:id w:val="180638424"/>
      <w:docPartObj>
        <w:docPartGallery w:val="AutoText"/>
      </w:docPartObj>
    </w:sdtPr>
    <w:sdtEndPr>
      <w:rPr>
        <w:rStyle w:val="15"/>
      </w:rPr>
    </w:sdtEndPr>
    <w:sdtContent>
      <w:p w14:paraId="6F4E541D">
        <w:pPr>
          <w:pStyle w:val="11"/>
          <w:framePr w:wrap="auto" w:vAnchor="text" w:hAnchor="margin" w:xAlign="right" w:y="1"/>
          <w:rPr>
            <w:rStyle w:val="15"/>
          </w:rPr>
        </w:pPr>
        <w:r>
          <w:rPr>
            <w:rStyle w:val="15"/>
          </w:rPr>
          <w:fldChar w:fldCharType="begin"/>
        </w:r>
        <w:r>
          <w:rPr>
            <w:rStyle w:val="15"/>
          </w:rPr>
          <w:instrText xml:space="preserve"> PAGE </w:instrText>
        </w:r>
        <w:r>
          <w:rPr>
            <w:rStyle w:val="15"/>
          </w:rPr>
          <w:fldChar w:fldCharType="separate"/>
        </w:r>
        <w:r>
          <w:rPr>
            <w:rStyle w:val="15"/>
          </w:rPr>
          <w:t>1</w:t>
        </w:r>
        <w:r>
          <w:rPr>
            <w:rStyle w:val="15"/>
          </w:rPr>
          <w:fldChar w:fldCharType="end"/>
        </w:r>
      </w:p>
    </w:sdtContent>
  </w:sdt>
  <w:p w14:paraId="511D623B">
    <w:pPr>
      <w:pStyle w:val="11"/>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Style w:val="15"/>
      </w:rPr>
      <w:id w:val="284706778"/>
      <w:docPartObj>
        <w:docPartGallery w:val="AutoText"/>
      </w:docPartObj>
    </w:sdtPr>
    <w:sdtEndPr>
      <w:rPr>
        <w:rStyle w:val="15"/>
      </w:rPr>
    </w:sdtEndPr>
    <w:sdtContent>
      <w:p w14:paraId="4F5E2F0A">
        <w:pPr>
          <w:pStyle w:val="11"/>
          <w:framePr w:wrap="auto" w:vAnchor="text" w:hAnchor="margin" w:xAlign="right" w:y="1"/>
          <w:rPr>
            <w:rStyle w:val="15"/>
          </w:rPr>
        </w:pPr>
        <w:r>
          <w:rPr>
            <w:rStyle w:val="15"/>
          </w:rPr>
          <w:fldChar w:fldCharType="begin"/>
        </w:r>
        <w:r>
          <w:rPr>
            <w:rStyle w:val="15"/>
          </w:rPr>
          <w:instrText xml:space="preserve"> PAGE </w:instrText>
        </w:r>
        <w:r>
          <w:rPr>
            <w:rStyle w:val="15"/>
          </w:rPr>
          <w:fldChar w:fldCharType="end"/>
        </w:r>
      </w:p>
    </w:sdtContent>
  </w:sdt>
  <w:p w14:paraId="5BFB3647">
    <w:pPr>
      <w:pStyle w:val="11"/>
      <w:ind w:right="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5672"/>
    <w:rsid w:val="0000159A"/>
    <w:rsid w:val="00001C91"/>
    <w:rsid w:val="00001D57"/>
    <w:rsid w:val="00003261"/>
    <w:rsid w:val="00007426"/>
    <w:rsid w:val="000079A3"/>
    <w:rsid w:val="0001010A"/>
    <w:rsid w:val="00011575"/>
    <w:rsid w:val="00011DBA"/>
    <w:rsid w:val="000133A6"/>
    <w:rsid w:val="00014784"/>
    <w:rsid w:val="00017508"/>
    <w:rsid w:val="00021220"/>
    <w:rsid w:val="000215F8"/>
    <w:rsid w:val="000224CA"/>
    <w:rsid w:val="000268B9"/>
    <w:rsid w:val="00027637"/>
    <w:rsid w:val="00027D1B"/>
    <w:rsid w:val="00031D4D"/>
    <w:rsid w:val="000324CD"/>
    <w:rsid w:val="00037D9B"/>
    <w:rsid w:val="00041E90"/>
    <w:rsid w:val="0004246A"/>
    <w:rsid w:val="000441A5"/>
    <w:rsid w:val="00045409"/>
    <w:rsid w:val="0004680B"/>
    <w:rsid w:val="00046C1B"/>
    <w:rsid w:val="00047A1E"/>
    <w:rsid w:val="00052F48"/>
    <w:rsid w:val="00057154"/>
    <w:rsid w:val="00057232"/>
    <w:rsid w:val="0006072B"/>
    <w:rsid w:val="0006217C"/>
    <w:rsid w:val="00067042"/>
    <w:rsid w:val="000701D6"/>
    <w:rsid w:val="00070DAA"/>
    <w:rsid w:val="0007178B"/>
    <w:rsid w:val="00071BFF"/>
    <w:rsid w:val="00072CBE"/>
    <w:rsid w:val="00073267"/>
    <w:rsid w:val="00075CA1"/>
    <w:rsid w:val="0007628B"/>
    <w:rsid w:val="000805BD"/>
    <w:rsid w:val="00082B57"/>
    <w:rsid w:val="000840F9"/>
    <w:rsid w:val="000863AF"/>
    <w:rsid w:val="00090210"/>
    <w:rsid w:val="00094B7D"/>
    <w:rsid w:val="000958C2"/>
    <w:rsid w:val="000A3F4D"/>
    <w:rsid w:val="000A74C3"/>
    <w:rsid w:val="000B187C"/>
    <w:rsid w:val="000B2A63"/>
    <w:rsid w:val="000B2F37"/>
    <w:rsid w:val="000B3C73"/>
    <w:rsid w:val="000B491F"/>
    <w:rsid w:val="000B5DB8"/>
    <w:rsid w:val="000B6470"/>
    <w:rsid w:val="000C014D"/>
    <w:rsid w:val="000C038F"/>
    <w:rsid w:val="000C1E5F"/>
    <w:rsid w:val="000C223E"/>
    <w:rsid w:val="000C4314"/>
    <w:rsid w:val="000C6ABA"/>
    <w:rsid w:val="000C7248"/>
    <w:rsid w:val="000C7870"/>
    <w:rsid w:val="000D0D07"/>
    <w:rsid w:val="000D3B31"/>
    <w:rsid w:val="000D4680"/>
    <w:rsid w:val="000D7C88"/>
    <w:rsid w:val="000E02C1"/>
    <w:rsid w:val="000E1065"/>
    <w:rsid w:val="000E71DF"/>
    <w:rsid w:val="000F0F25"/>
    <w:rsid w:val="000F4C58"/>
    <w:rsid w:val="000F61A3"/>
    <w:rsid w:val="000F7162"/>
    <w:rsid w:val="0010199A"/>
    <w:rsid w:val="00102FBC"/>
    <w:rsid w:val="00104C8E"/>
    <w:rsid w:val="001065D5"/>
    <w:rsid w:val="00106EC6"/>
    <w:rsid w:val="001108DA"/>
    <w:rsid w:val="00111FDE"/>
    <w:rsid w:val="001125D4"/>
    <w:rsid w:val="00115064"/>
    <w:rsid w:val="0011544A"/>
    <w:rsid w:val="00116E9D"/>
    <w:rsid w:val="00117E16"/>
    <w:rsid w:val="001204E4"/>
    <w:rsid w:val="0012069A"/>
    <w:rsid w:val="00120975"/>
    <w:rsid w:val="00122C31"/>
    <w:rsid w:val="0012744C"/>
    <w:rsid w:val="00127809"/>
    <w:rsid w:val="001305A9"/>
    <w:rsid w:val="001308CC"/>
    <w:rsid w:val="0013370B"/>
    <w:rsid w:val="001346B6"/>
    <w:rsid w:val="001356DF"/>
    <w:rsid w:val="001402B3"/>
    <w:rsid w:val="00142DC1"/>
    <w:rsid w:val="00146D1A"/>
    <w:rsid w:val="001477AC"/>
    <w:rsid w:val="00150787"/>
    <w:rsid w:val="0015285C"/>
    <w:rsid w:val="001537F4"/>
    <w:rsid w:val="00154036"/>
    <w:rsid w:val="001547E0"/>
    <w:rsid w:val="0015523D"/>
    <w:rsid w:val="0015578C"/>
    <w:rsid w:val="00156291"/>
    <w:rsid w:val="00156D59"/>
    <w:rsid w:val="001572CC"/>
    <w:rsid w:val="00157B53"/>
    <w:rsid w:val="001603FF"/>
    <w:rsid w:val="0016067F"/>
    <w:rsid w:val="0016167B"/>
    <w:rsid w:val="001625E3"/>
    <w:rsid w:val="00162F63"/>
    <w:rsid w:val="00163B04"/>
    <w:rsid w:val="001653D3"/>
    <w:rsid w:val="001669AA"/>
    <w:rsid w:val="001673BB"/>
    <w:rsid w:val="00167789"/>
    <w:rsid w:val="001709A8"/>
    <w:rsid w:val="00171849"/>
    <w:rsid w:val="00171F90"/>
    <w:rsid w:val="001729E1"/>
    <w:rsid w:val="00172ABB"/>
    <w:rsid w:val="0017496F"/>
    <w:rsid w:val="0017635D"/>
    <w:rsid w:val="00183483"/>
    <w:rsid w:val="00183660"/>
    <w:rsid w:val="00183B45"/>
    <w:rsid w:val="00185059"/>
    <w:rsid w:val="00187459"/>
    <w:rsid w:val="00187757"/>
    <w:rsid w:val="00190A90"/>
    <w:rsid w:val="00194AAA"/>
    <w:rsid w:val="001A1C34"/>
    <w:rsid w:val="001A560C"/>
    <w:rsid w:val="001A56D2"/>
    <w:rsid w:val="001A71A5"/>
    <w:rsid w:val="001B1970"/>
    <w:rsid w:val="001B29E7"/>
    <w:rsid w:val="001B2D44"/>
    <w:rsid w:val="001B6978"/>
    <w:rsid w:val="001C0D75"/>
    <w:rsid w:val="001C24B6"/>
    <w:rsid w:val="001C3B8E"/>
    <w:rsid w:val="001C3E8B"/>
    <w:rsid w:val="001C4CE3"/>
    <w:rsid w:val="001C614A"/>
    <w:rsid w:val="001C648E"/>
    <w:rsid w:val="001C718E"/>
    <w:rsid w:val="001C7654"/>
    <w:rsid w:val="001D3B3E"/>
    <w:rsid w:val="001D531F"/>
    <w:rsid w:val="001E088B"/>
    <w:rsid w:val="001E0B53"/>
    <w:rsid w:val="001E3793"/>
    <w:rsid w:val="001F3118"/>
    <w:rsid w:val="001F4B42"/>
    <w:rsid w:val="001F72D6"/>
    <w:rsid w:val="001F734A"/>
    <w:rsid w:val="002003A8"/>
    <w:rsid w:val="00200C29"/>
    <w:rsid w:val="00203C16"/>
    <w:rsid w:val="002045AC"/>
    <w:rsid w:val="002057F2"/>
    <w:rsid w:val="00212242"/>
    <w:rsid w:val="002208C1"/>
    <w:rsid w:val="0023140A"/>
    <w:rsid w:val="002345C4"/>
    <w:rsid w:val="0023548D"/>
    <w:rsid w:val="0023585B"/>
    <w:rsid w:val="0024417E"/>
    <w:rsid w:val="002446EE"/>
    <w:rsid w:val="00251EC9"/>
    <w:rsid w:val="00252040"/>
    <w:rsid w:val="00252710"/>
    <w:rsid w:val="00252CA9"/>
    <w:rsid w:val="00252F78"/>
    <w:rsid w:val="002558C9"/>
    <w:rsid w:val="00260B2B"/>
    <w:rsid w:val="002618A8"/>
    <w:rsid w:val="00262EA2"/>
    <w:rsid w:val="002632E2"/>
    <w:rsid w:val="002666C3"/>
    <w:rsid w:val="00266742"/>
    <w:rsid w:val="00270323"/>
    <w:rsid w:val="00271883"/>
    <w:rsid w:val="00275A63"/>
    <w:rsid w:val="002810E4"/>
    <w:rsid w:val="0028662D"/>
    <w:rsid w:val="002868C7"/>
    <w:rsid w:val="00286A71"/>
    <w:rsid w:val="00286D11"/>
    <w:rsid w:val="00290AFD"/>
    <w:rsid w:val="00291A73"/>
    <w:rsid w:val="00292792"/>
    <w:rsid w:val="002927A5"/>
    <w:rsid w:val="00293543"/>
    <w:rsid w:val="00296BF3"/>
    <w:rsid w:val="00297B69"/>
    <w:rsid w:val="00297BD7"/>
    <w:rsid w:val="002A0AC8"/>
    <w:rsid w:val="002A12CB"/>
    <w:rsid w:val="002A266B"/>
    <w:rsid w:val="002A2A94"/>
    <w:rsid w:val="002A35A6"/>
    <w:rsid w:val="002A665A"/>
    <w:rsid w:val="002A6C11"/>
    <w:rsid w:val="002B0A3F"/>
    <w:rsid w:val="002B59E5"/>
    <w:rsid w:val="002C2C95"/>
    <w:rsid w:val="002C47B8"/>
    <w:rsid w:val="002D01FB"/>
    <w:rsid w:val="002D214D"/>
    <w:rsid w:val="002D2E4C"/>
    <w:rsid w:val="002D304D"/>
    <w:rsid w:val="002D3957"/>
    <w:rsid w:val="002D517F"/>
    <w:rsid w:val="002D51C9"/>
    <w:rsid w:val="002D5A50"/>
    <w:rsid w:val="002D5C66"/>
    <w:rsid w:val="002D7AAD"/>
    <w:rsid w:val="002E1028"/>
    <w:rsid w:val="002E2D91"/>
    <w:rsid w:val="002E79F2"/>
    <w:rsid w:val="002F2FEA"/>
    <w:rsid w:val="003058D4"/>
    <w:rsid w:val="00312580"/>
    <w:rsid w:val="00316C0A"/>
    <w:rsid w:val="0032113D"/>
    <w:rsid w:val="00322EF6"/>
    <w:rsid w:val="0032445A"/>
    <w:rsid w:val="003271CC"/>
    <w:rsid w:val="00331D0A"/>
    <w:rsid w:val="00334AF6"/>
    <w:rsid w:val="00336C89"/>
    <w:rsid w:val="00341498"/>
    <w:rsid w:val="003432CD"/>
    <w:rsid w:val="0034560B"/>
    <w:rsid w:val="003469FA"/>
    <w:rsid w:val="003506CB"/>
    <w:rsid w:val="00351A39"/>
    <w:rsid w:val="00355525"/>
    <w:rsid w:val="003569CD"/>
    <w:rsid w:val="00357083"/>
    <w:rsid w:val="003572C8"/>
    <w:rsid w:val="00357A87"/>
    <w:rsid w:val="00357CF0"/>
    <w:rsid w:val="00365445"/>
    <w:rsid w:val="00365B58"/>
    <w:rsid w:val="0036651B"/>
    <w:rsid w:val="00366648"/>
    <w:rsid w:val="00367736"/>
    <w:rsid w:val="00367E27"/>
    <w:rsid w:val="00370355"/>
    <w:rsid w:val="00372283"/>
    <w:rsid w:val="003723D3"/>
    <w:rsid w:val="00373169"/>
    <w:rsid w:val="00380767"/>
    <w:rsid w:val="00381802"/>
    <w:rsid w:val="003824EC"/>
    <w:rsid w:val="0038460C"/>
    <w:rsid w:val="003947D0"/>
    <w:rsid w:val="00394A7D"/>
    <w:rsid w:val="00396F30"/>
    <w:rsid w:val="00397E6D"/>
    <w:rsid w:val="003A0022"/>
    <w:rsid w:val="003A0239"/>
    <w:rsid w:val="003A2FF0"/>
    <w:rsid w:val="003A4D5B"/>
    <w:rsid w:val="003A6E9E"/>
    <w:rsid w:val="003A78B2"/>
    <w:rsid w:val="003B0FB3"/>
    <w:rsid w:val="003B1D59"/>
    <w:rsid w:val="003B3CAE"/>
    <w:rsid w:val="003B5DAD"/>
    <w:rsid w:val="003B7237"/>
    <w:rsid w:val="003C0019"/>
    <w:rsid w:val="003C0347"/>
    <w:rsid w:val="003C1E83"/>
    <w:rsid w:val="003C25C9"/>
    <w:rsid w:val="003C2F57"/>
    <w:rsid w:val="003C4618"/>
    <w:rsid w:val="003C597E"/>
    <w:rsid w:val="003C7371"/>
    <w:rsid w:val="003D0280"/>
    <w:rsid w:val="003D03CD"/>
    <w:rsid w:val="003D142F"/>
    <w:rsid w:val="003D2B81"/>
    <w:rsid w:val="003D5517"/>
    <w:rsid w:val="003D6560"/>
    <w:rsid w:val="003E2597"/>
    <w:rsid w:val="003E2815"/>
    <w:rsid w:val="003E3215"/>
    <w:rsid w:val="003E6556"/>
    <w:rsid w:val="003E6A4B"/>
    <w:rsid w:val="003F0440"/>
    <w:rsid w:val="003F256C"/>
    <w:rsid w:val="003F5240"/>
    <w:rsid w:val="003F63EC"/>
    <w:rsid w:val="004004EA"/>
    <w:rsid w:val="00401E5A"/>
    <w:rsid w:val="00403A03"/>
    <w:rsid w:val="00405281"/>
    <w:rsid w:val="0041217B"/>
    <w:rsid w:val="00412EA5"/>
    <w:rsid w:val="004130A1"/>
    <w:rsid w:val="0041408D"/>
    <w:rsid w:val="004149CD"/>
    <w:rsid w:val="00415FA2"/>
    <w:rsid w:val="00416E9F"/>
    <w:rsid w:val="00417B18"/>
    <w:rsid w:val="00417EB6"/>
    <w:rsid w:val="004218C0"/>
    <w:rsid w:val="004222D7"/>
    <w:rsid w:val="004234E2"/>
    <w:rsid w:val="00423703"/>
    <w:rsid w:val="004260CD"/>
    <w:rsid w:val="004305DB"/>
    <w:rsid w:val="00431FB4"/>
    <w:rsid w:val="0043293B"/>
    <w:rsid w:val="00433A38"/>
    <w:rsid w:val="004346A6"/>
    <w:rsid w:val="00434E2C"/>
    <w:rsid w:val="004357C5"/>
    <w:rsid w:val="004360D7"/>
    <w:rsid w:val="00436F98"/>
    <w:rsid w:val="00441D99"/>
    <w:rsid w:val="00442932"/>
    <w:rsid w:val="00444568"/>
    <w:rsid w:val="004448B2"/>
    <w:rsid w:val="00444A03"/>
    <w:rsid w:val="00447DC6"/>
    <w:rsid w:val="0045017C"/>
    <w:rsid w:val="004502F9"/>
    <w:rsid w:val="004555F3"/>
    <w:rsid w:val="00456F8E"/>
    <w:rsid w:val="00460B21"/>
    <w:rsid w:val="00460E55"/>
    <w:rsid w:val="0046102E"/>
    <w:rsid w:val="00465DA2"/>
    <w:rsid w:val="004667EA"/>
    <w:rsid w:val="00473173"/>
    <w:rsid w:val="00473314"/>
    <w:rsid w:val="0047346D"/>
    <w:rsid w:val="004742A4"/>
    <w:rsid w:val="00476F0E"/>
    <w:rsid w:val="00481733"/>
    <w:rsid w:val="00481814"/>
    <w:rsid w:val="00481A74"/>
    <w:rsid w:val="004821BD"/>
    <w:rsid w:val="00482C93"/>
    <w:rsid w:val="00482E7A"/>
    <w:rsid w:val="00483E97"/>
    <w:rsid w:val="00484449"/>
    <w:rsid w:val="00486204"/>
    <w:rsid w:val="00486976"/>
    <w:rsid w:val="004870C4"/>
    <w:rsid w:val="00494367"/>
    <w:rsid w:val="004953EC"/>
    <w:rsid w:val="00495DC4"/>
    <w:rsid w:val="004965E6"/>
    <w:rsid w:val="004966B9"/>
    <w:rsid w:val="00496D71"/>
    <w:rsid w:val="004970EF"/>
    <w:rsid w:val="004971BE"/>
    <w:rsid w:val="004A3E59"/>
    <w:rsid w:val="004A6ACD"/>
    <w:rsid w:val="004A76EB"/>
    <w:rsid w:val="004B0066"/>
    <w:rsid w:val="004B0BAA"/>
    <w:rsid w:val="004B178D"/>
    <w:rsid w:val="004B1F3A"/>
    <w:rsid w:val="004B3BA7"/>
    <w:rsid w:val="004B6F75"/>
    <w:rsid w:val="004B7A11"/>
    <w:rsid w:val="004B7BF1"/>
    <w:rsid w:val="004C1576"/>
    <w:rsid w:val="004C4E32"/>
    <w:rsid w:val="004C5B54"/>
    <w:rsid w:val="004C7114"/>
    <w:rsid w:val="004D0A18"/>
    <w:rsid w:val="004D0A55"/>
    <w:rsid w:val="004D471B"/>
    <w:rsid w:val="004E2F8C"/>
    <w:rsid w:val="004E41A9"/>
    <w:rsid w:val="004E5CD8"/>
    <w:rsid w:val="004F149C"/>
    <w:rsid w:val="004F2FBB"/>
    <w:rsid w:val="004F5831"/>
    <w:rsid w:val="00500112"/>
    <w:rsid w:val="00500447"/>
    <w:rsid w:val="00500C8D"/>
    <w:rsid w:val="005010DC"/>
    <w:rsid w:val="005019D4"/>
    <w:rsid w:val="005076AD"/>
    <w:rsid w:val="00510234"/>
    <w:rsid w:val="00510391"/>
    <w:rsid w:val="00517045"/>
    <w:rsid w:val="005172F6"/>
    <w:rsid w:val="00521016"/>
    <w:rsid w:val="0052182D"/>
    <w:rsid w:val="00524283"/>
    <w:rsid w:val="00525AF3"/>
    <w:rsid w:val="005268BC"/>
    <w:rsid w:val="005319F0"/>
    <w:rsid w:val="00534ACC"/>
    <w:rsid w:val="00536908"/>
    <w:rsid w:val="00537898"/>
    <w:rsid w:val="005419A8"/>
    <w:rsid w:val="00547E20"/>
    <w:rsid w:val="0055061D"/>
    <w:rsid w:val="00550909"/>
    <w:rsid w:val="0055125A"/>
    <w:rsid w:val="00551F7C"/>
    <w:rsid w:val="00552B83"/>
    <w:rsid w:val="005540E8"/>
    <w:rsid w:val="00554A09"/>
    <w:rsid w:val="00555FD2"/>
    <w:rsid w:val="00557A78"/>
    <w:rsid w:val="00565FDC"/>
    <w:rsid w:val="00567AD2"/>
    <w:rsid w:val="00570626"/>
    <w:rsid w:val="00572AC7"/>
    <w:rsid w:val="00575919"/>
    <w:rsid w:val="00576788"/>
    <w:rsid w:val="00580971"/>
    <w:rsid w:val="00581C81"/>
    <w:rsid w:val="00582D0E"/>
    <w:rsid w:val="005835FA"/>
    <w:rsid w:val="005864D6"/>
    <w:rsid w:val="00586CDD"/>
    <w:rsid w:val="00586E4C"/>
    <w:rsid w:val="00590FBB"/>
    <w:rsid w:val="005A4095"/>
    <w:rsid w:val="005A40AD"/>
    <w:rsid w:val="005A4AB4"/>
    <w:rsid w:val="005A6490"/>
    <w:rsid w:val="005B0439"/>
    <w:rsid w:val="005B0C0D"/>
    <w:rsid w:val="005B17A7"/>
    <w:rsid w:val="005B2E71"/>
    <w:rsid w:val="005B44E5"/>
    <w:rsid w:val="005B6BC1"/>
    <w:rsid w:val="005B7903"/>
    <w:rsid w:val="005C0843"/>
    <w:rsid w:val="005C1946"/>
    <w:rsid w:val="005C3EBE"/>
    <w:rsid w:val="005C533B"/>
    <w:rsid w:val="005C55B0"/>
    <w:rsid w:val="005C5798"/>
    <w:rsid w:val="005C7645"/>
    <w:rsid w:val="005D1E06"/>
    <w:rsid w:val="005D34D5"/>
    <w:rsid w:val="005D40ED"/>
    <w:rsid w:val="005D4E30"/>
    <w:rsid w:val="005E0BA4"/>
    <w:rsid w:val="005E57C8"/>
    <w:rsid w:val="005E7A2B"/>
    <w:rsid w:val="005F1B6C"/>
    <w:rsid w:val="005F1EB2"/>
    <w:rsid w:val="005F24F4"/>
    <w:rsid w:val="005F470D"/>
    <w:rsid w:val="005F585A"/>
    <w:rsid w:val="005F5F78"/>
    <w:rsid w:val="005F7455"/>
    <w:rsid w:val="005F78B3"/>
    <w:rsid w:val="006002A7"/>
    <w:rsid w:val="00600412"/>
    <w:rsid w:val="00600BD3"/>
    <w:rsid w:val="0060128E"/>
    <w:rsid w:val="006071DE"/>
    <w:rsid w:val="00613285"/>
    <w:rsid w:val="00620787"/>
    <w:rsid w:val="00620CC6"/>
    <w:rsid w:val="00624CB2"/>
    <w:rsid w:val="00624ED5"/>
    <w:rsid w:val="00625413"/>
    <w:rsid w:val="00625F6C"/>
    <w:rsid w:val="00627008"/>
    <w:rsid w:val="00627649"/>
    <w:rsid w:val="0063080A"/>
    <w:rsid w:val="006315F5"/>
    <w:rsid w:val="00632335"/>
    <w:rsid w:val="00635D4B"/>
    <w:rsid w:val="00637749"/>
    <w:rsid w:val="00640777"/>
    <w:rsid w:val="00642EB4"/>
    <w:rsid w:val="006435C9"/>
    <w:rsid w:val="006477D7"/>
    <w:rsid w:val="0065119D"/>
    <w:rsid w:val="00660121"/>
    <w:rsid w:val="00661152"/>
    <w:rsid w:val="00661EAA"/>
    <w:rsid w:val="00666658"/>
    <w:rsid w:val="00666906"/>
    <w:rsid w:val="006670D7"/>
    <w:rsid w:val="00667F03"/>
    <w:rsid w:val="0067044A"/>
    <w:rsid w:val="00671FB3"/>
    <w:rsid w:val="0067332C"/>
    <w:rsid w:val="0067367C"/>
    <w:rsid w:val="00682D61"/>
    <w:rsid w:val="00683046"/>
    <w:rsid w:val="00687A9B"/>
    <w:rsid w:val="006A77D3"/>
    <w:rsid w:val="006B3D50"/>
    <w:rsid w:val="006C07F6"/>
    <w:rsid w:val="006C2C3A"/>
    <w:rsid w:val="006C2C92"/>
    <w:rsid w:val="006C368C"/>
    <w:rsid w:val="006C3CF6"/>
    <w:rsid w:val="006C4C44"/>
    <w:rsid w:val="006C5AD2"/>
    <w:rsid w:val="006C6AAC"/>
    <w:rsid w:val="006C7432"/>
    <w:rsid w:val="006D13B2"/>
    <w:rsid w:val="006D4EEB"/>
    <w:rsid w:val="006E1D52"/>
    <w:rsid w:val="006E1EC9"/>
    <w:rsid w:val="006E2B94"/>
    <w:rsid w:val="006E303D"/>
    <w:rsid w:val="006E4BE2"/>
    <w:rsid w:val="006E5CCB"/>
    <w:rsid w:val="006E7194"/>
    <w:rsid w:val="006E7A1C"/>
    <w:rsid w:val="006F1503"/>
    <w:rsid w:val="006F2C72"/>
    <w:rsid w:val="006F4E9F"/>
    <w:rsid w:val="006F5C5A"/>
    <w:rsid w:val="0070041C"/>
    <w:rsid w:val="00700F3D"/>
    <w:rsid w:val="00702D0B"/>
    <w:rsid w:val="00702E50"/>
    <w:rsid w:val="00705801"/>
    <w:rsid w:val="007106FF"/>
    <w:rsid w:val="007112D0"/>
    <w:rsid w:val="0071587F"/>
    <w:rsid w:val="00715D7C"/>
    <w:rsid w:val="007225F3"/>
    <w:rsid w:val="0072303A"/>
    <w:rsid w:val="00723759"/>
    <w:rsid w:val="00723A12"/>
    <w:rsid w:val="00725DBC"/>
    <w:rsid w:val="00727B21"/>
    <w:rsid w:val="00730454"/>
    <w:rsid w:val="00730D60"/>
    <w:rsid w:val="0073241B"/>
    <w:rsid w:val="00733EB8"/>
    <w:rsid w:val="00735E66"/>
    <w:rsid w:val="00736375"/>
    <w:rsid w:val="007367B7"/>
    <w:rsid w:val="007402E2"/>
    <w:rsid w:val="00740756"/>
    <w:rsid w:val="007439EB"/>
    <w:rsid w:val="00743C29"/>
    <w:rsid w:val="0074540D"/>
    <w:rsid w:val="007464CE"/>
    <w:rsid w:val="00751C76"/>
    <w:rsid w:val="007551C1"/>
    <w:rsid w:val="0075562D"/>
    <w:rsid w:val="0076259C"/>
    <w:rsid w:val="007644C5"/>
    <w:rsid w:val="00767EEA"/>
    <w:rsid w:val="0077055F"/>
    <w:rsid w:val="00770A9E"/>
    <w:rsid w:val="00774064"/>
    <w:rsid w:val="0077422D"/>
    <w:rsid w:val="0077589B"/>
    <w:rsid w:val="00775F86"/>
    <w:rsid w:val="00792DCA"/>
    <w:rsid w:val="0079411F"/>
    <w:rsid w:val="0079426D"/>
    <w:rsid w:val="00795672"/>
    <w:rsid w:val="007A3294"/>
    <w:rsid w:val="007A35B8"/>
    <w:rsid w:val="007A7649"/>
    <w:rsid w:val="007B0F6D"/>
    <w:rsid w:val="007B1168"/>
    <w:rsid w:val="007B1DE1"/>
    <w:rsid w:val="007B25EB"/>
    <w:rsid w:val="007B4F90"/>
    <w:rsid w:val="007B7D6A"/>
    <w:rsid w:val="007C406F"/>
    <w:rsid w:val="007C5C38"/>
    <w:rsid w:val="007C7C81"/>
    <w:rsid w:val="007D38A4"/>
    <w:rsid w:val="007D5BC2"/>
    <w:rsid w:val="007D608B"/>
    <w:rsid w:val="007D62AE"/>
    <w:rsid w:val="007E2A66"/>
    <w:rsid w:val="007E5F01"/>
    <w:rsid w:val="007E7203"/>
    <w:rsid w:val="007F2133"/>
    <w:rsid w:val="007F33D3"/>
    <w:rsid w:val="007F473E"/>
    <w:rsid w:val="007F7B98"/>
    <w:rsid w:val="008028E5"/>
    <w:rsid w:val="008037E8"/>
    <w:rsid w:val="00803DE8"/>
    <w:rsid w:val="00803FBC"/>
    <w:rsid w:val="00811C12"/>
    <w:rsid w:val="008129FD"/>
    <w:rsid w:val="0081305C"/>
    <w:rsid w:val="0081362D"/>
    <w:rsid w:val="00813C8D"/>
    <w:rsid w:val="00814730"/>
    <w:rsid w:val="008163C1"/>
    <w:rsid w:val="0081681D"/>
    <w:rsid w:val="008172E4"/>
    <w:rsid w:val="008178BC"/>
    <w:rsid w:val="00821DE5"/>
    <w:rsid w:val="008237D0"/>
    <w:rsid w:val="00823BD1"/>
    <w:rsid w:val="00825880"/>
    <w:rsid w:val="00827F30"/>
    <w:rsid w:val="00830607"/>
    <w:rsid w:val="00831A6C"/>
    <w:rsid w:val="0083227F"/>
    <w:rsid w:val="00835C43"/>
    <w:rsid w:val="00840329"/>
    <w:rsid w:val="00840989"/>
    <w:rsid w:val="00840C8A"/>
    <w:rsid w:val="00841117"/>
    <w:rsid w:val="00841616"/>
    <w:rsid w:val="0084457F"/>
    <w:rsid w:val="0084520D"/>
    <w:rsid w:val="00845433"/>
    <w:rsid w:val="0084621E"/>
    <w:rsid w:val="00850F45"/>
    <w:rsid w:val="00851392"/>
    <w:rsid w:val="008514F4"/>
    <w:rsid w:val="008530B3"/>
    <w:rsid w:val="00853EFF"/>
    <w:rsid w:val="008540FF"/>
    <w:rsid w:val="00854BC9"/>
    <w:rsid w:val="0085558C"/>
    <w:rsid w:val="008612C6"/>
    <w:rsid w:val="008620FA"/>
    <w:rsid w:val="008634B3"/>
    <w:rsid w:val="00863FDC"/>
    <w:rsid w:val="00864765"/>
    <w:rsid w:val="00864B1A"/>
    <w:rsid w:val="00865AFF"/>
    <w:rsid w:val="00867D69"/>
    <w:rsid w:val="0087169D"/>
    <w:rsid w:val="008729B0"/>
    <w:rsid w:val="00875F37"/>
    <w:rsid w:val="00881E98"/>
    <w:rsid w:val="00882BF4"/>
    <w:rsid w:val="008830DF"/>
    <w:rsid w:val="008835BD"/>
    <w:rsid w:val="008841AE"/>
    <w:rsid w:val="00885584"/>
    <w:rsid w:val="00885E1E"/>
    <w:rsid w:val="0088722F"/>
    <w:rsid w:val="00890FF7"/>
    <w:rsid w:val="00891C81"/>
    <w:rsid w:val="00891D6A"/>
    <w:rsid w:val="00892F14"/>
    <w:rsid w:val="0089312B"/>
    <w:rsid w:val="00894B17"/>
    <w:rsid w:val="00895DEA"/>
    <w:rsid w:val="00896252"/>
    <w:rsid w:val="0089653E"/>
    <w:rsid w:val="008A0D42"/>
    <w:rsid w:val="008A6C37"/>
    <w:rsid w:val="008A7929"/>
    <w:rsid w:val="008B1873"/>
    <w:rsid w:val="008B24AF"/>
    <w:rsid w:val="008B3C82"/>
    <w:rsid w:val="008B3D84"/>
    <w:rsid w:val="008B4848"/>
    <w:rsid w:val="008B59E5"/>
    <w:rsid w:val="008C3164"/>
    <w:rsid w:val="008C7D59"/>
    <w:rsid w:val="008D039A"/>
    <w:rsid w:val="008D157B"/>
    <w:rsid w:val="008D6A13"/>
    <w:rsid w:val="008E0229"/>
    <w:rsid w:val="008E2B25"/>
    <w:rsid w:val="008E4D17"/>
    <w:rsid w:val="008E55CE"/>
    <w:rsid w:val="008F0983"/>
    <w:rsid w:val="008F2182"/>
    <w:rsid w:val="008F47BB"/>
    <w:rsid w:val="008F724C"/>
    <w:rsid w:val="008F7AD2"/>
    <w:rsid w:val="009012D9"/>
    <w:rsid w:val="00902E66"/>
    <w:rsid w:val="0090334C"/>
    <w:rsid w:val="009047C7"/>
    <w:rsid w:val="009076DC"/>
    <w:rsid w:val="00907ACD"/>
    <w:rsid w:val="00910399"/>
    <w:rsid w:val="009110D3"/>
    <w:rsid w:val="00911482"/>
    <w:rsid w:val="00913532"/>
    <w:rsid w:val="00913FD3"/>
    <w:rsid w:val="00914E16"/>
    <w:rsid w:val="00916149"/>
    <w:rsid w:val="00917F5B"/>
    <w:rsid w:val="00920421"/>
    <w:rsid w:val="0092097F"/>
    <w:rsid w:val="00921D31"/>
    <w:rsid w:val="009263EA"/>
    <w:rsid w:val="00926EE9"/>
    <w:rsid w:val="00932B6A"/>
    <w:rsid w:val="00934FC9"/>
    <w:rsid w:val="00935498"/>
    <w:rsid w:val="009374B0"/>
    <w:rsid w:val="00940839"/>
    <w:rsid w:val="009434B9"/>
    <w:rsid w:val="009447C5"/>
    <w:rsid w:val="0094522A"/>
    <w:rsid w:val="009503AF"/>
    <w:rsid w:val="00953A4C"/>
    <w:rsid w:val="0095724F"/>
    <w:rsid w:val="00961FC9"/>
    <w:rsid w:val="009636DA"/>
    <w:rsid w:val="00964F26"/>
    <w:rsid w:val="00967085"/>
    <w:rsid w:val="00974FE0"/>
    <w:rsid w:val="00975545"/>
    <w:rsid w:val="009755C4"/>
    <w:rsid w:val="009758B2"/>
    <w:rsid w:val="0097681F"/>
    <w:rsid w:val="00981EF0"/>
    <w:rsid w:val="00981F0B"/>
    <w:rsid w:val="009836A9"/>
    <w:rsid w:val="00984657"/>
    <w:rsid w:val="00984DE3"/>
    <w:rsid w:val="009856E6"/>
    <w:rsid w:val="009859A7"/>
    <w:rsid w:val="009875A9"/>
    <w:rsid w:val="009915A6"/>
    <w:rsid w:val="009930A5"/>
    <w:rsid w:val="009971CF"/>
    <w:rsid w:val="009976B1"/>
    <w:rsid w:val="009A030A"/>
    <w:rsid w:val="009A136E"/>
    <w:rsid w:val="009A1A1D"/>
    <w:rsid w:val="009A3D79"/>
    <w:rsid w:val="009A580B"/>
    <w:rsid w:val="009A5B21"/>
    <w:rsid w:val="009A6DDF"/>
    <w:rsid w:val="009B187E"/>
    <w:rsid w:val="009B1BF8"/>
    <w:rsid w:val="009B1D61"/>
    <w:rsid w:val="009B2FC3"/>
    <w:rsid w:val="009B461D"/>
    <w:rsid w:val="009B54FD"/>
    <w:rsid w:val="009B6320"/>
    <w:rsid w:val="009C38C7"/>
    <w:rsid w:val="009C38F6"/>
    <w:rsid w:val="009C473F"/>
    <w:rsid w:val="009C4819"/>
    <w:rsid w:val="009C6DCB"/>
    <w:rsid w:val="009D4CE7"/>
    <w:rsid w:val="009D659C"/>
    <w:rsid w:val="009E0240"/>
    <w:rsid w:val="009E1F84"/>
    <w:rsid w:val="009E4643"/>
    <w:rsid w:val="009E64C6"/>
    <w:rsid w:val="009E7C93"/>
    <w:rsid w:val="009F02E6"/>
    <w:rsid w:val="009F628E"/>
    <w:rsid w:val="009F6358"/>
    <w:rsid w:val="009F655E"/>
    <w:rsid w:val="009F765C"/>
    <w:rsid w:val="009F7C93"/>
    <w:rsid w:val="00A078DA"/>
    <w:rsid w:val="00A14311"/>
    <w:rsid w:val="00A16A62"/>
    <w:rsid w:val="00A2145A"/>
    <w:rsid w:val="00A25E6D"/>
    <w:rsid w:val="00A31CBF"/>
    <w:rsid w:val="00A33FFE"/>
    <w:rsid w:val="00A37025"/>
    <w:rsid w:val="00A40FC6"/>
    <w:rsid w:val="00A4186A"/>
    <w:rsid w:val="00A419EB"/>
    <w:rsid w:val="00A424CF"/>
    <w:rsid w:val="00A437A7"/>
    <w:rsid w:val="00A43C39"/>
    <w:rsid w:val="00A44368"/>
    <w:rsid w:val="00A457F8"/>
    <w:rsid w:val="00A52190"/>
    <w:rsid w:val="00A54442"/>
    <w:rsid w:val="00A56C0A"/>
    <w:rsid w:val="00A56F97"/>
    <w:rsid w:val="00A576E1"/>
    <w:rsid w:val="00A605A0"/>
    <w:rsid w:val="00A60CE7"/>
    <w:rsid w:val="00A615F4"/>
    <w:rsid w:val="00A619E4"/>
    <w:rsid w:val="00A626EE"/>
    <w:rsid w:val="00A63799"/>
    <w:rsid w:val="00A6444D"/>
    <w:rsid w:val="00A647C1"/>
    <w:rsid w:val="00A70015"/>
    <w:rsid w:val="00A73615"/>
    <w:rsid w:val="00A75353"/>
    <w:rsid w:val="00A800DF"/>
    <w:rsid w:val="00A8028A"/>
    <w:rsid w:val="00A81C31"/>
    <w:rsid w:val="00A8224A"/>
    <w:rsid w:val="00A845A1"/>
    <w:rsid w:val="00A84FAA"/>
    <w:rsid w:val="00A87ADE"/>
    <w:rsid w:val="00A87E28"/>
    <w:rsid w:val="00A904C4"/>
    <w:rsid w:val="00A94458"/>
    <w:rsid w:val="00A948B9"/>
    <w:rsid w:val="00A96713"/>
    <w:rsid w:val="00A96905"/>
    <w:rsid w:val="00A96B02"/>
    <w:rsid w:val="00AA5B47"/>
    <w:rsid w:val="00AB15BA"/>
    <w:rsid w:val="00AB2A2D"/>
    <w:rsid w:val="00AB2EF3"/>
    <w:rsid w:val="00AB5732"/>
    <w:rsid w:val="00AB5A3A"/>
    <w:rsid w:val="00AB625B"/>
    <w:rsid w:val="00AC0156"/>
    <w:rsid w:val="00AC0396"/>
    <w:rsid w:val="00AC04B2"/>
    <w:rsid w:val="00AC1EFD"/>
    <w:rsid w:val="00AC29DD"/>
    <w:rsid w:val="00AC544D"/>
    <w:rsid w:val="00AC5B0B"/>
    <w:rsid w:val="00AC6144"/>
    <w:rsid w:val="00AD0CF4"/>
    <w:rsid w:val="00AD2704"/>
    <w:rsid w:val="00AD2CC9"/>
    <w:rsid w:val="00AD4785"/>
    <w:rsid w:val="00AD57D2"/>
    <w:rsid w:val="00AE08C8"/>
    <w:rsid w:val="00AE1062"/>
    <w:rsid w:val="00AE1ED7"/>
    <w:rsid w:val="00AE2352"/>
    <w:rsid w:val="00AE7082"/>
    <w:rsid w:val="00AF0E0C"/>
    <w:rsid w:val="00AF48A4"/>
    <w:rsid w:val="00AF5280"/>
    <w:rsid w:val="00AF78DD"/>
    <w:rsid w:val="00AF7CE5"/>
    <w:rsid w:val="00B02BA5"/>
    <w:rsid w:val="00B033A5"/>
    <w:rsid w:val="00B12DCE"/>
    <w:rsid w:val="00B162BA"/>
    <w:rsid w:val="00B2125C"/>
    <w:rsid w:val="00B2244F"/>
    <w:rsid w:val="00B23B22"/>
    <w:rsid w:val="00B2460E"/>
    <w:rsid w:val="00B26696"/>
    <w:rsid w:val="00B26FFC"/>
    <w:rsid w:val="00B31855"/>
    <w:rsid w:val="00B346B2"/>
    <w:rsid w:val="00B35FD2"/>
    <w:rsid w:val="00B364A4"/>
    <w:rsid w:val="00B37D6E"/>
    <w:rsid w:val="00B40C1C"/>
    <w:rsid w:val="00B415DB"/>
    <w:rsid w:val="00B422D4"/>
    <w:rsid w:val="00B4238B"/>
    <w:rsid w:val="00B423E4"/>
    <w:rsid w:val="00B44CD6"/>
    <w:rsid w:val="00B46D49"/>
    <w:rsid w:val="00B551FE"/>
    <w:rsid w:val="00B60900"/>
    <w:rsid w:val="00B61AF4"/>
    <w:rsid w:val="00B64AF0"/>
    <w:rsid w:val="00B65844"/>
    <w:rsid w:val="00B70B8F"/>
    <w:rsid w:val="00B71A42"/>
    <w:rsid w:val="00B72098"/>
    <w:rsid w:val="00B721AE"/>
    <w:rsid w:val="00B73C3F"/>
    <w:rsid w:val="00B75216"/>
    <w:rsid w:val="00B7581F"/>
    <w:rsid w:val="00B77785"/>
    <w:rsid w:val="00B77C0F"/>
    <w:rsid w:val="00B82C8D"/>
    <w:rsid w:val="00B836FC"/>
    <w:rsid w:val="00B84732"/>
    <w:rsid w:val="00B860B8"/>
    <w:rsid w:val="00B869F6"/>
    <w:rsid w:val="00B91FD4"/>
    <w:rsid w:val="00B93198"/>
    <w:rsid w:val="00B95F43"/>
    <w:rsid w:val="00B96F77"/>
    <w:rsid w:val="00B970DC"/>
    <w:rsid w:val="00B97BB9"/>
    <w:rsid w:val="00BA2B90"/>
    <w:rsid w:val="00BA7072"/>
    <w:rsid w:val="00BA72FD"/>
    <w:rsid w:val="00BA76CC"/>
    <w:rsid w:val="00BB08A0"/>
    <w:rsid w:val="00BB3E79"/>
    <w:rsid w:val="00BB500B"/>
    <w:rsid w:val="00BB5256"/>
    <w:rsid w:val="00BC1553"/>
    <w:rsid w:val="00BC3608"/>
    <w:rsid w:val="00BC3FE1"/>
    <w:rsid w:val="00BC60DB"/>
    <w:rsid w:val="00BC6C2F"/>
    <w:rsid w:val="00BD0517"/>
    <w:rsid w:val="00BD0F2A"/>
    <w:rsid w:val="00BD32CB"/>
    <w:rsid w:val="00BD3CF6"/>
    <w:rsid w:val="00BD4DEF"/>
    <w:rsid w:val="00BD6000"/>
    <w:rsid w:val="00BE06BE"/>
    <w:rsid w:val="00BE314E"/>
    <w:rsid w:val="00BF02BF"/>
    <w:rsid w:val="00BF0BC6"/>
    <w:rsid w:val="00BF2004"/>
    <w:rsid w:val="00BF2C59"/>
    <w:rsid w:val="00BF4619"/>
    <w:rsid w:val="00C0051B"/>
    <w:rsid w:val="00C01A79"/>
    <w:rsid w:val="00C03AA7"/>
    <w:rsid w:val="00C06FC8"/>
    <w:rsid w:val="00C10FFC"/>
    <w:rsid w:val="00C113EC"/>
    <w:rsid w:val="00C120F7"/>
    <w:rsid w:val="00C12BB6"/>
    <w:rsid w:val="00C13637"/>
    <w:rsid w:val="00C16A84"/>
    <w:rsid w:val="00C20609"/>
    <w:rsid w:val="00C20D06"/>
    <w:rsid w:val="00C22D20"/>
    <w:rsid w:val="00C2557D"/>
    <w:rsid w:val="00C25E7E"/>
    <w:rsid w:val="00C2660C"/>
    <w:rsid w:val="00C303C1"/>
    <w:rsid w:val="00C31269"/>
    <w:rsid w:val="00C35101"/>
    <w:rsid w:val="00C35E7D"/>
    <w:rsid w:val="00C3654D"/>
    <w:rsid w:val="00C37555"/>
    <w:rsid w:val="00C37E6F"/>
    <w:rsid w:val="00C41159"/>
    <w:rsid w:val="00C4360E"/>
    <w:rsid w:val="00C5010A"/>
    <w:rsid w:val="00C5068A"/>
    <w:rsid w:val="00C53964"/>
    <w:rsid w:val="00C554BB"/>
    <w:rsid w:val="00C61085"/>
    <w:rsid w:val="00C62202"/>
    <w:rsid w:val="00C6359C"/>
    <w:rsid w:val="00C64B27"/>
    <w:rsid w:val="00C659FE"/>
    <w:rsid w:val="00C65FF9"/>
    <w:rsid w:val="00C7149A"/>
    <w:rsid w:val="00C724AB"/>
    <w:rsid w:val="00C76487"/>
    <w:rsid w:val="00C806FC"/>
    <w:rsid w:val="00C80738"/>
    <w:rsid w:val="00C8265F"/>
    <w:rsid w:val="00C85255"/>
    <w:rsid w:val="00C85DDA"/>
    <w:rsid w:val="00C86E51"/>
    <w:rsid w:val="00C87CB0"/>
    <w:rsid w:val="00C9066D"/>
    <w:rsid w:val="00C917D6"/>
    <w:rsid w:val="00C9504E"/>
    <w:rsid w:val="00C97BFF"/>
    <w:rsid w:val="00C97EB1"/>
    <w:rsid w:val="00CA240A"/>
    <w:rsid w:val="00CA2A1F"/>
    <w:rsid w:val="00CA2C52"/>
    <w:rsid w:val="00CA3E62"/>
    <w:rsid w:val="00CA56F3"/>
    <w:rsid w:val="00CA683B"/>
    <w:rsid w:val="00CB28B1"/>
    <w:rsid w:val="00CB3A0D"/>
    <w:rsid w:val="00CB3AC1"/>
    <w:rsid w:val="00CB4EEF"/>
    <w:rsid w:val="00CB5899"/>
    <w:rsid w:val="00CC44ED"/>
    <w:rsid w:val="00CD4CDA"/>
    <w:rsid w:val="00CD777F"/>
    <w:rsid w:val="00CD7993"/>
    <w:rsid w:val="00CE0F6B"/>
    <w:rsid w:val="00CE2486"/>
    <w:rsid w:val="00CE438C"/>
    <w:rsid w:val="00CE4975"/>
    <w:rsid w:val="00CE4FB5"/>
    <w:rsid w:val="00CE505F"/>
    <w:rsid w:val="00CE576A"/>
    <w:rsid w:val="00CE6422"/>
    <w:rsid w:val="00CE6B86"/>
    <w:rsid w:val="00CE6E80"/>
    <w:rsid w:val="00CF0E11"/>
    <w:rsid w:val="00CF3948"/>
    <w:rsid w:val="00CF58B9"/>
    <w:rsid w:val="00CF75DA"/>
    <w:rsid w:val="00CF7F4C"/>
    <w:rsid w:val="00D0154F"/>
    <w:rsid w:val="00D0164D"/>
    <w:rsid w:val="00D03318"/>
    <w:rsid w:val="00D05728"/>
    <w:rsid w:val="00D10D1C"/>
    <w:rsid w:val="00D124A2"/>
    <w:rsid w:val="00D1410C"/>
    <w:rsid w:val="00D15BB9"/>
    <w:rsid w:val="00D15C1F"/>
    <w:rsid w:val="00D1630E"/>
    <w:rsid w:val="00D20BFA"/>
    <w:rsid w:val="00D21A48"/>
    <w:rsid w:val="00D22411"/>
    <w:rsid w:val="00D23BFF"/>
    <w:rsid w:val="00D23F26"/>
    <w:rsid w:val="00D25B59"/>
    <w:rsid w:val="00D25F49"/>
    <w:rsid w:val="00D26534"/>
    <w:rsid w:val="00D2711F"/>
    <w:rsid w:val="00D2740B"/>
    <w:rsid w:val="00D31AB1"/>
    <w:rsid w:val="00D32C69"/>
    <w:rsid w:val="00D341FB"/>
    <w:rsid w:val="00D40AA4"/>
    <w:rsid w:val="00D40BE7"/>
    <w:rsid w:val="00D41927"/>
    <w:rsid w:val="00D44A2A"/>
    <w:rsid w:val="00D45E88"/>
    <w:rsid w:val="00D52D59"/>
    <w:rsid w:val="00D54DF7"/>
    <w:rsid w:val="00D573EF"/>
    <w:rsid w:val="00D57B29"/>
    <w:rsid w:val="00D57B47"/>
    <w:rsid w:val="00D57FCB"/>
    <w:rsid w:val="00D60001"/>
    <w:rsid w:val="00D610A7"/>
    <w:rsid w:val="00D61DF7"/>
    <w:rsid w:val="00D64FB3"/>
    <w:rsid w:val="00D71F21"/>
    <w:rsid w:val="00D72D14"/>
    <w:rsid w:val="00D764FB"/>
    <w:rsid w:val="00D7720D"/>
    <w:rsid w:val="00D77603"/>
    <w:rsid w:val="00D77877"/>
    <w:rsid w:val="00D77F3A"/>
    <w:rsid w:val="00D964C5"/>
    <w:rsid w:val="00D96AE7"/>
    <w:rsid w:val="00DA048E"/>
    <w:rsid w:val="00DA1D48"/>
    <w:rsid w:val="00DA35BE"/>
    <w:rsid w:val="00DB0577"/>
    <w:rsid w:val="00DB2E99"/>
    <w:rsid w:val="00DB41A9"/>
    <w:rsid w:val="00DB5492"/>
    <w:rsid w:val="00DC2F2D"/>
    <w:rsid w:val="00DC3191"/>
    <w:rsid w:val="00DC3934"/>
    <w:rsid w:val="00DC3E41"/>
    <w:rsid w:val="00DC646E"/>
    <w:rsid w:val="00DD0060"/>
    <w:rsid w:val="00DD0C68"/>
    <w:rsid w:val="00DD1352"/>
    <w:rsid w:val="00DD284C"/>
    <w:rsid w:val="00DD2ACE"/>
    <w:rsid w:val="00DD604B"/>
    <w:rsid w:val="00DD6960"/>
    <w:rsid w:val="00DD7283"/>
    <w:rsid w:val="00DE1D5C"/>
    <w:rsid w:val="00DE30AC"/>
    <w:rsid w:val="00DE5DCE"/>
    <w:rsid w:val="00DE6875"/>
    <w:rsid w:val="00DF0EF6"/>
    <w:rsid w:val="00DF0F97"/>
    <w:rsid w:val="00DF32E0"/>
    <w:rsid w:val="00DF3652"/>
    <w:rsid w:val="00DF367E"/>
    <w:rsid w:val="00DF3C7B"/>
    <w:rsid w:val="00DF3D51"/>
    <w:rsid w:val="00DF3DC8"/>
    <w:rsid w:val="00DF5DEC"/>
    <w:rsid w:val="00DF6D88"/>
    <w:rsid w:val="00E00F72"/>
    <w:rsid w:val="00E04477"/>
    <w:rsid w:val="00E05210"/>
    <w:rsid w:val="00E10E38"/>
    <w:rsid w:val="00E11672"/>
    <w:rsid w:val="00E12308"/>
    <w:rsid w:val="00E1250F"/>
    <w:rsid w:val="00E1297F"/>
    <w:rsid w:val="00E1375D"/>
    <w:rsid w:val="00E16A7F"/>
    <w:rsid w:val="00E25BBB"/>
    <w:rsid w:val="00E25E17"/>
    <w:rsid w:val="00E26A65"/>
    <w:rsid w:val="00E27DCC"/>
    <w:rsid w:val="00E33547"/>
    <w:rsid w:val="00E35AA7"/>
    <w:rsid w:val="00E40159"/>
    <w:rsid w:val="00E41800"/>
    <w:rsid w:val="00E42D7B"/>
    <w:rsid w:val="00E454C2"/>
    <w:rsid w:val="00E4675C"/>
    <w:rsid w:val="00E47E7E"/>
    <w:rsid w:val="00E56DCC"/>
    <w:rsid w:val="00E56EE9"/>
    <w:rsid w:val="00E60541"/>
    <w:rsid w:val="00E62C0C"/>
    <w:rsid w:val="00E645AD"/>
    <w:rsid w:val="00E646E9"/>
    <w:rsid w:val="00E65138"/>
    <w:rsid w:val="00E657FA"/>
    <w:rsid w:val="00E66299"/>
    <w:rsid w:val="00E669CE"/>
    <w:rsid w:val="00E713BA"/>
    <w:rsid w:val="00E7396F"/>
    <w:rsid w:val="00E73DB8"/>
    <w:rsid w:val="00E74A9E"/>
    <w:rsid w:val="00E74DA6"/>
    <w:rsid w:val="00E75CCD"/>
    <w:rsid w:val="00E77F73"/>
    <w:rsid w:val="00E800D8"/>
    <w:rsid w:val="00E83901"/>
    <w:rsid w:val="00E90C9D"/>
    <w:rsid w:val="00E952C1"/>
    <w:rsid w:val="00E97237"/>
    <w:rsid w:val="00E97B6E"/>
    <w:rsid w:val="00E97CC0"/>
    <w:rsid w:val="00EA33AA"/>
    <w:rsid w:val="00EA6FFE"/>
    <w:rsid w:val="00EB2020"/>
    <w:rsid w:val="00EB24B4"/>
    <w:rsid w:val="00EB281B"/>
    <w:rsid w:val="00EB2BB6"/>
    <w:rsid w:val="00EB6C2D"/>
    <w:rsid w:val="00EB732D"/>
    <w:rsid w:val="00EC0D38"/>
    <w:rsid w:val="00EC273F"/>
    <w:rsid w:val="00EC428D"/>
    <w:rsid w:val="00EC4A4A"/>
    <w:rsid w:val="00EC6E1C"/>
    <w:rsid w:val="00EC7C65"/>
    <w:rsid w:val="00ED356B"/>
    <w:rsid w:val="00ED3E30"/>
    <w:rsid w:val="00ED54F4"/>
    <w:rsid w:val="00ED6C46"/>
    <w:rsid w:val="00ED76C1"/>
    <w:rsid w:val="00EE1980"/>
    <w:rsid w:val="00EE4473"/>
    <w:rsid w:val="00EE6BDD"/>
    <w:rsid w:val="00EE6D41"/>
    <w:rsid w:val="00EF1482"/>
    <w:rsid w:val="00EF2989"/>
    <w:rsid w:val="00EF3A27"/>
    <w:rsid w:val="00EF4CDE"/>
    <w:rsid w:val="00EF5965"/>
    <w:rsid w:val="00EF7AB8"/>
    <w:rsid w:val="00F00FBD"/>
    <w:rsid w:val="00F01314"/>
    <w:rsid w:val="00F044CA"/>
    <w:rsid w:val="00F059C8"/>
    <w:rsid w:val="00F073BD"/>
    <w:rsid w:val="00F10BB4"/>
    <w:rsid w:val="00F11371"/>
    <w:rsid w:val="00F118C9"/>
    <w:rsid w:val="00F1453D"/>
    <w:rsid w:val="00F15FF3"/>
    <w:rsid w:val="00F16D1A"/>
    <w:rsid w:val="00F208CB"/>
    <w:rsid w:val="00F21692"/>
    <w:rsid w:val="00F2258E"/>
    <w:rsid w:val="00F2706B"/>
    <w:rsid w:val="00F272CC"/>
    <w:rsid w:val="00F34407"/>
    <w:rsid w:val="00F43489"/>
    <w:rsid w:val="00F43808"/>
    <w:rsid w:val="00F439F7"/>
    <w:rsid w:val="00F43CB9"/>
    <w:rsid w:val="00F442EE"/>
    <w:rsid w:val="00F450C8"/>
    <w:rsid w:val="00F46871"/>
    <w:rsid w:val="00F476F8"/>
    <w:rsid w:val="00F501E8"/>
    <w:rsid w:val="00F5072A"/>
    <w:rsid w:val="00F56E5E"/>
    <w:rsid w:val="00F57737"/>
    <w:rsid w:val="00F57965"/>
    <w:rsid w:val="00F57E14"/>
    <w:rsid w:val="00F626A0"/>
    <w:rsid w:val="00F62C38"/>
    <w:rsid w:val="00F65D9F"/>
    <w:rsid w:val="00F67DAA"/>
    <w:rsid w:val="00F71837"/>
    <w:rsid w:val="00F71AE8"/>
    <w:rsid w:val="00F7323A"/>
    <w:rsid w:val="00F753EB"/>
    <w:rsid w:val="00F7567A"/>
    <w:rsid w:val="00F75D86"/>
    <w:rsid w:val="00F803CF"/>
    <w:rsid w:val="00F83758"/>
    <w:rsid w:val="00F84846"/>
    <w:rsid w:val="00F878F3"/>
    <w:rsid w:val="00F9055D"/>
    <w:rsid w:val="00F921E3"/>
    <w:rsid w:val="00F93093"/>
    <w:rsid w:val="00F96A7E"/>
    <w:rsid w:val="00FA440B"/>
    <w:rsid w:val="00FA6544"/>
    <w:rsid w:val="00FB1F9D"/>
    <w:rsid w:val="00FB2340"/>
    <w:rsid w:val="00FB2CC4"/>
    <w:rsid w:val="00FB31E2"/>
    <w:rsid w:val="00FB4906"/>
    <w:rsid w:val="00FB4925"/>
    <w:rsid w:val="00FB523C"/>
    <w:rsid w:val="00FB540F"/>
    <w:rsid w:val="00FB6214"/>
    <w:rsid w:val="00FB670A"/>
    <w:rsid w:val="00FB7B7F"/>
    <w:rsid w:val="00FC72A9"/>
    <w:rsid w:val="00FD09FD"/>
    <w:rsid w:val="00FD167A"/>
    <w:rsid w:val="00FD1705"/>
    <w:rsid w:val="00FD2253"/>
    <w:rsid w:val="00FD5F92"/>
    <w:rsid w:val="00FD7B22"/>
    <w:rsid w:val="00FE2E35"/>
    <w:rsid w:val="00FE430C"/>
    <w:rsid w:val="00FE54D7"/>
    <w:rsid w:val="00FE7AEB"/>
    <w:rsid w:val="00FF11B9"/>
    <w:rsid w:val="00FF4ECE"/>
    <w:rsid w:val="00FF7F04"/>
    <w:rsid w:val="6FB17798"/>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semiHidden="0" w:name="annotation text"/>
    <w:lsdException w:uiPriority="99"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HAnsi" w:cstheme="minorBidi"/>
      <w:sz w:val="24"/>
      <w:szCs w:val="24"/>
      <w:lang w:val="es-E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uiPriority w:val="99"/>
    <w:rPr>
      <w:rFonts w:ascii="Times New Roman" w:hAnsi="Times New Roman" w:cs="Times New Roman"/>
      <w:sz w:val="18"/>
      <w:szCs w:val="18"/>
    </w:rPr>
  </w:style>
  <w:style w:type="paragraph" w:styleId="5">
    <w:name w:val="caption"/>
    <w:basedOn w:val="1"/>
    <w:next w:val="1"/>
    <w:unhideWhenUsed/>
    <w:qFormat/>
    <w:uiPriority w:val="35"/>
    <w:pPr>
      <w:spacing w:after="200"/>
    </w:pPr>
    <w:rPr>
      <w:rFonts w:ascii="Arial" w:hAnsi="Arial"/>
      <w:i/>
      <w:iCs/>
      <w:color w:val="44546A" w:themeColor="text2"/>
      <w:sz w:val="18"/>
      <w:szCs w:val="18"/>
      <w:lang w:val="es-CL"/>
      <w14:textFill>
        <w14:solidFill>
          <w14:schemeClr w14:val="tx2"/>
        </w14:solidFill>
      </w14:textFill>
    </w:rPr>
  </w:style>
  <w:style w:type="character" w:styleId="6">
    <w:name w:val="annotation reference"/>
    <w:basedOn w:val="2"/>
    <w:semiHidden/>
    <w:unhideWhenUsed/>
    <w:uiPriority w:val="99"/>
    <w:rPr>
      <w:sz w:val="16"/>
      <w:szCs w:val="16"/>
    </w:rPr>
  </w:style>
  <w:style w:type="paragraph" w:styleId="7">
    <w:name w:val="annotation text"/>
    <w:basedOn w:val="1"/>
    <w:link w:val="19"/>
    <w:unhideWhenUsed/>
    <w:uiPriority w:val="99"/>
    <w:rPr>
      <w:sz w:val="20"/>
      <w:szCs w:val="20"/>
    </w:rPr>
  </w:style>
  <w:style w:type="paragraph" w:styleId="8">
    <w:name w:val="annotation subject"/>
    <w:basedOn w:val="7"/>
    <w:next w:val="7"/>
    <w:link w:val="20"/>
    <w:semiHidden/>
    <w:unhideWhenUsed/>
    <w:uiPriority w:val="99"/>
    <w:rPr>
      <w:b/>
      <w:bCs/>
    </w:rPr>
  </w:style>
  <w:style w:type="character" w:styleId="9">
    <w:name w:val="Emphasis"/>
    <w:basedOn w:val="2"/>
    <w:qFormat/>
    <w:uiPriority w:val="20"/>
    <w:rPr>
      <w:i/>
      <w:iCs/>
    </w:rPr>
  </w:style>
  <w:style w:type="character" w:styleId="10">
    <w:name w:val="FollowedHyperlink"/>
    <w:basedOn w:val="2"/>
    <w:semiHidden/>
    <w:unhideWhenUsed/>
    <w:uiPriority w:val="99"/>
    <w:rPr>
      <w:color w:val="954F72" w:themeColor="followedHyperlink"/>
      <w:u w:val="single"/>
      <w14:textFill>
        <w14:solidFill>
          <w14:schemeClr w14:val="folHlink"/>
        </w14:solidFill>
      </w14:textFill>
    </w:rPr>
  </w:style>
  <w:style w:type="paragraph" w:styleId="11">
    <w:name w:val="footer"/>
    <w:basedOn w:val="1"/>
    <w:link w:val="22"/>
    <w:unhideWhenUsed/>
    <w:uiPriority w:val="99"/>
    <w:pPr>
      <w:tabs>
        <w:tab w:val="center" w:pos="4419"/>
        <w:tab w:val="right" w:pos="8838"/>
      </w:tabs>
    </w:pPr>
  </w:style>
  <w:style w:type="character" w:styleId="12">
    <w:name w:val="Hyperlink"/>
    <w:basedOn w:val="2"/>
    <w:unhideWhenUsed/>
    <w:uiPriority w:val="99"/>
    <w:rPr>
      <w:color w:val="0563C1" w:themeColor="hyperlink"/>
      <w:u w:val="single"/>
      <w14:textFill>
        <w14:solidFill>
          <w14:schemeClr w14:val="hlink"/>
        </w14:solidFill>
      </w14:textFill>
    </w:rPr>
  </w:style>
  <w:style w:type="character" w:styleId="13">
    <w:name w:val="line number"/>
    <w:basedOn w:val="2"/>
    <w:semiHidden/>
    <w:unhideWhenUsed/>
    <w:qFormat/>
    <w:uiPriority w:val="99"/>
  </w:style>
  <w:style w:type="paragraph" w:styleId="14">
    <w:name w:val="Normal (Web)"/>
    <w:basedOn w:val="1"/>
    <w:semiHidden/>
    <w:unhideWhenUsed/>
    <w:uiPriority w:val="99"/>
    <w:pPr>
      <w:spacing w:before="100" w:beforeAutospacing="1" w:after="100" w:afterAutospacing="1"/>
    </w:pPr>
    <w:rPr>
      <w:rFonts w:ascii="Times New Roman" w:hAnsi="Times New Roman" w:eastAsia="Times New Roman" w:cs="Times New Roman"/>
      <w:lang/>
    </w:rPr>
  </w:style>
  <w:style w:type="character" w:styleId="15">
    <w:name w:val="page number"/>
    <w:basedOn w:val="2"/>
    <w:semiHidden/>
    <w:unhideWhenUsed/>
    <w:qFormat/>
    <w:uiPriority w:val="99"/>
  </w:style>
  <w:style w:type="character" w:styleId="16">
    <w:name w:val="Strong"/>
    <w:basedOn w:val="2"/>
    <w:qFormat/>
    <w:uiPriority w:val="22"/>
    <w:rPr>
      <w:b/>
      <w:bCs/>
    </w:rPr>
  </w:style>
  <w:style w:type="table" w:styleId="17">
    <w:name w:val="Table Grid"/>
    <w:basedOn w:val="3"/>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
    <w:name w:val="Texto de globo Car"/>
    <w:basedOn w:val="2"/>
    <w:link w:val="4"/>
    <w:semiHidden/>
    <w:uiPriority w:val="99"/>
    <w:rPr>
      <w:rFonts w:ascii="Times New Roman" w:hAnsi="Times New Roman" w:cs="Times New Roman"/>
      <w:sz w:val="18"/>
      <w:szCs w:val="18"/>
    </w:rPr>
  </w:style>
  <w:style w:type="character" w:customStyle="1" w:styleId="19">
    <w:name w:val="Texto comentario Car"/>
    <w:basedOn w:val="2"/>
    <w:link w:val="7"/>
    <w:qFormat/>
    <w:uiPriority w:val="99"/>
    <w:rPr>
      <w:sz w:val="20"/>
      <w:szCs w:val="20"/>
    </w:rPr>
  </w:style>
  <w:style w:type="character" w:customStyle="1" w:styleId="20">
    <w:name w:val="Asunto del comentario Car"/>
    <w:basedOn w:val="19"/>
    <w:link w:val="8"/>
    <w:semiHidden/>
    <w:uiPriority w:val="99"/>
    <w:rPr>
      <w:b/>
      <w:bCs/>
      <w:sz w:val="20"/>
      <w:szCs w:val="20"/>
    </w:rPr>
  </w:style>
  <w:style w:type="character" w:customStyle="1" w:styleId="21">
    <w:name w:val="Unresolved Mention"/>
    <w:basedOn w:val="2"/>
    <w:semiHidden/>
    <w:unhideWhenUsed/>
    <w:uiPriority w:val="99"/>
    <w:rPr>
      <w:color w:val="605E5C"/>
      <w:shd w:val="clear" w:color="auto" w:fill="E1DFDD"/>
    </w:rPr>
  </w:style>
  <w:style w:type="character" w:customStyle="1" w:styleId="22">
    <w:name w:val="Pie de página Car"/>
    <w:basedOn w:val="2"/>
    <w:link w:val="11"/>
    <w:uiPriority w:val="99"/>
  </w:style>
  <w:style w:type="paragraph" w:customStyle="1" w:styleId="23">
    <w:name w:val="Revision"/>
    <w:hidden/>
    <w:semiHidden/>
    <w:qFormat/>
    <w:uiPriority w:val="99"/>
    <w:rPr>
      <w:rFonts w:asciiTheme="minorHAnsi" w:hAnsiTheme="minorHAnsi" w:eastAsiaTheme="minorHAnsi" w:cstheme="minorBidi"/>
      <w:sz w:val="24"/>
      <w:szCs w:val="24"/>
      <w:lang w:val="es-ES" w:eastAsia="en-US" w:bidi="ar-SA"/>
    </w:rPr>
  </w:style>
  <w:style w:type="paragraph" w:styleId="24">
    <w:name w:val="No Spacing"/>
    <w:qFormat/>
    <w:uiPriority w:val="1"/>
    <w:rPr>
      <w:rFonts w:asciiTheme="minorHAnsi" w:hAnsiTheme="minorHAnsi" w:eastAsiaTheme="minorHAnsi" w:cstheme="minorBidi"/>
      <w:sz w:val="24"/>
      <w:szCs w:val="24"/>
      <w:lang w:val="es-ES" w:eastAsia="en-US" w:bidi="ar-SA"/>
    </w:rPr>
  </w:style>
  <w:style w:type="paragraph" w:styleId="25">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tiff"/><Relationship Id="rId7" Type="http://schemas.openxmlformats.org/officeDocument/2006/relationships/image" Target="media/image2.tiff"/><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5D205B-C6E9-44EA-959D-6E8E0FE3A303}">
  <ds:schemaRefs/>
</ds:datastoreItem>
</file>

<file path=docProps/app.xml><?xml version="1.0" encoding="utf-8"?>
<Properties xmlns="http://schemas.openxmlformats.org/officeDocument/2006/extended-properties" xmlns:vt="http://schemas.openxmlformats.org/officeDocument/2006/docPropsVTypes">
  <Template>Normal.dotm</Template>
  <Pages>37</Pages>
  <Words>8243</Words>
  <Characters>52844</Characters>
  <Lines>1078</Lines>
  <Paragraphs>361</Paragraphs>
  <TotalTime>207</TotalTime>
  <ScaleCrop>false</ScaleCrop>
  <LinksUpToDate>false</LinksUpToDate>
  <CharactersWithSpaces>60726</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2025-12-22T21:39:00Z</dcterms:created>
  <dc:creator>Microsoft Office User</dc:creator>
  <cp:lastModifiedBy>Ashwini Priyadharshini K B</cp:lastModifiedBy>
  <dcterms:modified xsi:type="dcterms:W3CDTF">2026-01-27T07:27:23Z</dcterms:modified>
  <cp:revision>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7E30CF8EE66749F190255AEF0F6C96D6_12</vt:lpwstr>
  </property>
</Properties>
</file>